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A07" w:rsidRDefault="002D5A07" w:rsidP="002D5A07">
      <w:pPr>
        <w:ind w:left="5760"/>
        <w:jc w:val="center"/>
        <w:rPr>
          <w:rFonts w:ascii="David" w:hAnsi="David" w:cs="David"/>
          <w:sz w:val="24"/>
          <w:szCs w:val="24"/>
          <w:rtl/>
        </w:rPr>
      </w:pPr>
      <w:bookmarkStart w:id="0" w:name="_GoBack"/>
      <w:bookmarkEnd w:id="0"/>
      <w:r>
        <w:rPr>
          <w:rFonts w:ascii="David" w:hAnsi="David" w:cs="David" w:hint="cs"/>
          <w:sz w:val="24"/>
          <w:szCs w:val="24"/>
          <w:rtl/>
        </w:rPr>
        <w:t xml:space="preserve">             יולי</w:t>
      </w:r>
      <w:r w:rsidRPr="00344181">
        <w:rPr>
          <w:rFonts w:ascii="David" w:hAnsi="David" w:cs="David"/>
          <w:sz w:val="24"/>
          <w:szCs w:val="24"/>
          <w:rtl/>
        </w:rPr>
        <w:t>, 2022</w:t>
      </w:r>
    </w:p>
    <w:p w:rsidR="002D5A07" w:rsidRPr="00344181" w:rsidRDefault="002D5A07" w:rsidP="002D5A07">
      <w:pPr>
        <w:jc w:val="right"/>
        <w:rPr>
          <w:rFonts w:ascii="David" w:hAnsi="David" w:cs="David"/>
          <w:sz w:val="24"/>
          <w:szCs w:val="24"/>
          <w:rtl/>
        </w:rPr>
      </w:pPr>
      <w:r>
        <w:rPr>
          <w:rFonts w:ascii="David" w:hAnsi="David" w:cs="David" w:hint="cs"/>
          <w:sz w:val="24"/>
          <w:szCs w:val="24"/>
          <w:rtl/>
        </w:rPr>
        <w:t xml:space="preserve">מהדורה מספר 1 </w:t>
      </w:r>
    </w:p>
    <w:p w:rsidR="002D5A07" w:rsidRPr="00344181" w:rsidRDefault="002D5A07" w:rsidP="002D5A07">
      <w:pPr>
        <w:jc w:val="center"/>
        <w:rPr>
          <w:rFonts w:ascii="David" w:hAnsi="David" w:cs="David"/>
          <w:b/>
          <w:bCs/>
          <w:sz w:val="24"/>
          <w:szCs w:val="24"/>
          <w:u w:val="single"/>
          <w:rtl/>
        </w:rPr>
      </w:pPr>
      <w:r w:rsidRPr="00344181">
        <w:rPr>
          <w:rFonts w:ascii="David" w:hAnsi="David" w:cs="David"/>
          <w:b/>
          <w:bCs/>
          <w:sz w:val="24"/>
          <w:szCs w:val="24"/>
          <w:u w:val="single"/>
          <w:rtl/>
        </w:rPr>
        <w:t>השקעות אחראיות (</w:t>
      </w:r>
      <w:r w:rsidRPr="00344181">
        <w:rPr>
          <w:rFonts w:ascii="David" w:hAnsi="David" w:cs="David"/>
          <w:b/>
          <w:bCs/>
          <w:sz w:val="24"/>
          <w:szCs w:val="24"/>
          <w:u w:val="single"/>
        </w:rPr>
        <w:t>ESG</w:t>
      </w:r>
      <w:r w:rsidRPr="00344181">
        <w:rPr>
          <w:rFonts w:ascii="David" w:hAnsi="David" w:cs="David"/>
          <w:b/>
          <w:bCs/>
          <w:sz w:val="24"/>
          <w:szCs w:val="24"/>
          <w:u w:val="single"/>
          <w:rtl/>
        </w:rPr>
        <w:t>)</w:t>
      </w:r>
    </w:p>
    <w:p w:rsidR="002D5A07" w:rsidRPr="00344181" w:rsidRDefault="002D5A07" w:rsidP="002D5A07">
      <w:pPr>
        <w:jc w:val="both"/>
        <w:rPr>
          <w:rFonts w:ascii="David" w:hAnsi="David" w:cs="David"/>
          <w:b/>
          <w:bCs/>
          <w:sz w:val="24"/>
          <w:szCs w:val="24"/>
          <w:u w:val="single"/>
          <w:rtl/>
        </w:rPr>
      </w:pPr>
      <w:r w:rsidRPr="00344181">
        <w:rPr>
          <w:rFonts w:ascii="David" w:hAnsi="David" w:cs="David"/>
          <w:b/>
          <w:bCs/>
          <w:sz w:val="24"/>
          <w:szCs w:val="24"/>
          <w:u w:val="single"/>
          <w:rtl/>
        </w:rPr>
        <w:t>כללי</w:t>
      </w:r>
    </w:p>
    <w:p w:rsidR="002D5A07" w:rsidRPr="00344181" w:rsidRDefault="002D5A07" w:rsidP="002D5A07">
      <w:pPr>
        <w:pStyle w:val="a5"/>
        <w:numPr>
          <w:ilvl w:val="0"/>
          <w:numId w:val="8"/>
        </w:numPr>
        <w:spacing w:line="360" w:lineRule="auto"/>
        <w:ind w:left="714" w:hanging="357"/>
        <w:contextualSpacing w:val="0"/>
        <w:jc w:val="both"/>
        <w:rPr>
          <w:rFonts w:ascii="David" w:hAnsi="David" w:cs="David"/>
          <w:sz w:val="24"/>
          <w:szCs w:val="24"/>
          <w:rtl/>
        </w:rPr>
      </w:pPr>
      <w:r w:rsidRPr="00344181">
        <w:rPr>
          <w:rFonts w:ascii="David" w:hAnsi="David" w:cs="David"/>
          <w:sz w:val="24"/>
          <w:szCs w:val="24"/>
          <w:rtl/>
        </w:rPr>
        <w:t>במסגרת קביעת מדיניות ההשקעות יפורטו שיקולי ההשקעה השונים הנוגעים, בין היתר, לשיקולים הנוגעים להיבטים סביבתיים, חברתיים ולהיבטי ממשל תאגידי, לצד בחינה ושקילה של סיכונים הקשורים לסיכונים מתפתחים מהותיים כגון סיכונים טכנולוגיים וסיכוני סייבר ("</w:t>
      </w:r>
      <w:r w:rsidRPr="00DA16A4">
        <w:rPr>
          <w:rFonts w:ascii="David" w:hAnsi="David" w:cs="David"/>
          <w:b/>
          <w:bCs/>
          <w:sz w:val="24"/>
          <w:szCs w:val="24"/>
          <w:rtl/>
        </w:rPr>
        <w:t xml:space="preserve">שיקולי </w:t>
      </w:r>
      <w:r w:rsidRPr="00DA16A4">
        <w:rPr>
          <w:rFonts w:ascii="David" w:hAnsi="David" w:cs="David"/>
          <w:b/>
          <w:bCs/>
          <w:sz w:val="24"/>
          <w:szCs w:val="24"/>
        </w:rPr>
        <w:t>ESG</w:t>
      </w:r>
      <w:r w:rsidRPr="00344181">
        <w:rPr>
          <w:rFonts w:ascii="David" w:hAnsi="David" w:cs="David"/>
          <w:sz w:val="24"/>
          <w:szCs w:val="24"/>
          <w:rtl/>
        </w:rPr>
        <w:t>")</w:t>
      </w:r>
      <w:r>
        <w:rPr>
          <w:rStyle w:val="af"/>
          <w:rFonts w:ascii="David" w:hAnsi="David" w:cs="David"/>
          <w:sz w:val="24"/>
          <w:szCs w:val="24"/>
          <w:rtl/>
        </w:rPr>
        <w:footnoteReference w:id="1"/>
      </w:r>
      <w:r w:rsidRPr="00344181">
        <w:rPr>
          <w:rFonts w:ascii="David" w:hAnsi="David" w:cs="David"/>
          <w:sz w:val="24"/>
          <w:szCs w:val="24"/>
          <w:rtl/>
        </w:rPr>
        <w:t>.</w:t>
      </w:r>
    </w:p>
    <w:p w:rsidR="002D5A07" w:rsidRPr="00344181" w:rsidRDefault="002D5A07" w:rsidP="002D5A07">
      <w:pPr>
        <w:pStyle w:val="a5"/>
        <w:numPr>
          <w:ilvl w:val="0"/>
          <w:numId w:val="8"/>
        </w:numPr>
        <w:spacing w:line="360" w:lineRule="auto"/>
        <w:ind w:left="714" w:hanging="357"/>
        <w:contextualSpacing w:val="0"/>
        <w:jc w:val="both"/>
        <w:rPr>
          <w:rFonts w:ascii="David" w:hAnsi="David" w:cs="David"/>
          <w:sz w:val="24"/>
          <w:szCs w:val="24"/>
          <w:rtl/>
        </w:rPr>
      </w:pPr>
      <w:r w:rsidRPr="00344181">
        <w:rPr>
          <w:rFonts w:ascii="David" w:hAnsi="David" w:cs="David"/>
          <w:sz w:val="24"/>
          <w:szCs w:val="24"/>
          <w:rtl/>
        </w:rPr>
        <w:t xml:space="preserve">הכללת שיקולי </w:t>
      </w:r>
      <w:r w:rsidRPr="00344181">
        <w:rPr>
          <w:rFonts w:ascii="David" w:hAnsi="David" w:cs="David"/>
          <w:sz w:val="24"/>
          <w:szCs w:val="24"/>
        </w:rPr>
        <w:t>ESG</w:t>
      </w:r>
      <w:r w:rsidRPr="00344181">
        <w:rPr>
          <w:rFonts w:ascii="David" w:hAnsi="David" w:cs="David"/>
          <w:sz w:val="24"/>
          <w:szCs w:val="24"/>
          <w:rtl/>
        </w:rPr>
        <w:t xml:space="preserve"> במסגרת מכלול השיקולים לבחינת השקעות, הינה בעלת השפעה </w:t>
      </w:r>
      <w:r>
        <w:rPr>
          <w:rFonts w:ascii="David" w:hAnsi="David" w:cs="David" w:hint="cs"/>
          <w:sz w:val="24"/>
          <w:szCs w:val="24"/>
          <w:rtl/>
        </w:rPr>
        <w:t xml:space="preserve">הן </w:t>
      </w:r>
      <w:r>
        <w:rPr>
          <w:rFonts w:ascii="David" w:hAnsi="David" w:cs="David"/>
          <w:sz w:val="24"/>
          <w:szCs w:val="24"/>
          <w:rtl/>
        </w:rPr>
        <w:t xml:space="preserve">על ביצועי תיק ההשקעות </w:t>
      </w:r>
      <w:r>
        <w:rPr>
          <w:rFonts w:ascii="David" w:hAnsi="David" w:cs="David" w:hint="cs"/>
          <w:sz w:val="24"/>
          <w:szCs w:val="24"/>
          <w:rtl/>
        </w:rPr>
        <w:t>(</w:t>
      </w:r>
      <w:r>
        <w:rPr>
          <w:rFonts w:ascii="David" w:hAnsi="David" w:cs="David"/>
          <w:sz w:val="24"/>
          <w:szCs w:val="24"/>
          <w:rtl/>
        </w:rPr>
        <w:t xml:space="preserve">בהיבט ניהול הסיכונים </w:t>
      </w:r>
      <w:r>
        <w:rPr>
          <w:rFonts w:ascii="David" w:hAnsi="David" w:cs="David" w:hint="cs"/>
          <w:sz w:val="24"/>
          <w:szCs w:val="24"/>
          <w:rtl/>
        </w:rPr>
        <w:t>ו</w:t>
      </w:r>
      <w:r>
        <w:rPr>
          <w:rFonts w:ascii="David" w:hAnsi="David" w:cs="David"/>
          <w:sz w:val="24"/>
          <w:szCs w:val="24"/>
          <w:rtl/>
        </w:rPr>
        <w:t>בהיבט הביצועים הפיננסיים</w:t>
      </w:r>
      <w:r>
        <w:rPr>
          <w:rFonts w:ascii="David" w:hAnsi="David" w:cs="David" w:hint="cs"/>
          <w:sz w:val="24"/>
          <w:szCs w:val="24"/>
          <w:rtl/>
        </w:rPr>
        <w:t xml:space="preserve">), והן השפעה </w:t>
      </w:r>
      <w:r w:rsidRPr="00344181">
        <w:rPr>
          <w:rFonts w:ascii="David" w:hAnsi="David" w:cs="David"/>
          <w:sz w:val="24"/>
          <w:szCs w:val="24"/>
          <w:rtl/>
        </w:rPr>
        <w:t xml:space="preserve">חיובית על התנהגות התאגידים נשוא ההשקעה ויש בכוחה להגביר את השקיפות מצד התאגידים בהם משקיעה החברה ולהוביל לשינוי בדפוסי פעילות ואימוץ של נורמות וכללי התנהגות ראויים בכל הנוגע להתנהלותם בהיבטים סביבתיים, חברתיים וכן לשיפור איכות הממשל התאגידי. </w:t>
      </w:r>
    </w:p>
    <w:p w:rsidR="002D5A07" w:rsidRPr="00344181" w:rsidRDefault="002D5A07" w:rsidP="002D5A07">
      <w:pPr>
        <w:pStyle w:val="a5"/>
        <w:numPr>
          <w:ilvl w:val="0"/>
          <w:numId w:val="8"/>
        </w:numPr>
        <w:spacing w:line="360" w:lineRule="auto"/>
        <w:ind w:left="714" w:hanging="357"/>
        <w:contextualSpacing w:val="0"/>
        <w:jc w:val="both"/>
        <w:rPr>
          <w:rFonts w:ascii="David" w:hAnsi="David" w:cs="David"/>
          <w:sz w:val="24"/>
          <w:szCs w:val="24"/>
          <w:rtl/>
        </w:rPr>
      </w:pPr>
      <w:r w:rsidRPr="00344181">
        <w:rPr>
          <w:rFonts w:ascii="David" w:hAnsi="David" w:cs="David"/>
          <w:sz w:val="24"/>
          <w:szCs w:val="24"/>
          <w:rtl/>
        </w:rPr>
        <w:t xml:space="preserve">הכללת שיקולי </w:t>
      </w:r>
      <w:r w:rsidRPr="00344181">
        <w:rPr>
          <w:rFonts w:ascii="David" w:hAnsi="David" w:cs="David"/>
          <w:sz w:val="24"/>
          <w:szCs w:val="24"/>
        </w:rPr>
        <w:t>ESG</w:t>
      </w:r>
      <w:r w:rsidRPr="00344181">
        <w:rPr>
          <w:rFonts w:ascii="David" w:hAnsi="David" w:cs="David"/>
          <w:sz w:val="24"/>
          <w:szCs w:val="24"/>
          <w:rtl/>
        </w:rPr>
        <w:t xml:space="preserve"> תבוא לידי ביטוי במסגרת בחינת השקעות פרטניות וכן בבחינת תמהיל התיק בכללותו (בפרט בכל הנוגע לשיעור החשיפה הכוללת להשקעות בעלות סממנים "ירוקים" סביבתיים ולבחינת שיעור החשיפה הכולל לתאגידים בעלי השפעה סביבתית שלילית)</w:t>
      </w:r>
      <w:r>
        <w:rPr>
          <w:rFonts w:ascii="David" w:hAnsi="David" w:cs="David"/>
          <w:sz w:val="24"/>
          <w:szCs w:val="24"/>
          <w:rtl/>
        </w:rPr>
        <w:t xml:space="preserve">, זאת </w:t>
      </w:r>
      <w:r>
        <w:rPr>
          <w:rFonts w:ascii="David" w:hAnsi="David" w:cs="David" w:hint="cs"/>
          <w:sz w:val="24"/>
          <w:szCs w:val="24"/>
          <w:rtl/>
        </w:rPr>
        <w:t xml:space="preserve">גם </w:t>
      </w:r>
      <w:r>
        <w:rPr>
          <w:rFonts w:ascii="David" w:hAnsi="David" w:cs="David"/>
          <w:sz w:val="24"/>
          <w:szCs w:val="24"/>
          <w:rtl/>
        </w:rPr>
        <w:t xml:space="preserve">לאור </w:t>
      </w:r>
      <w:r>
        <w:rPr>
          <w:rFonts w:ascii="David" w:hAnsi="David" w:cs="David"/>
          <w:w w:val="80"/>
          <w:sz w:val="24"/>
          <w:szCs w:val="24"/>
          <w:rtl/>
        </w:rPr>
        <w:t>השפעתם של שיקולים אלה על ביצועי תיק ההשקעות</w:t>
      </w:r>
      <w:r w:rsidRPr="00344181">
        <w:rPr>
          <w:rFonts w:ascii="David" w:hAnsi="David" w:cs="David"/>
          <w:sz w:val="24"/>
          <w:szCs w:val="24"/>
          <w:rtl/>
        </w:rPr>
        <w:t xml:space="preserve">. </w:t>
      </w:r>
    </w:p>
    <w:p w:rsidR="002D5A07" w:rsidRDefault="002D5A07" w:rsidP="002D5A07">
      <w:pPr>
        <w:pStyle w:val="a5"/>
        <w:numPr>
          <w:ilvl w:val="0"/>
          <w:numId w:val="8"/>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החברה מוצאת לנכון לאמץ את </w:t>
      </w:r>
      <w:r w:rsidRPr="00DA16A4">
        <w:rPr>
          <w:rFonts w:ascii="David" w:hAnsi="David" w:cs="David"/>
          <w:b/>
          <w:bCs/>
          <w:sz w:val="24"/>
          <w:szCs w:val="24"/>
          <w:rtl/>
        </w:rPr>
        <w:t>הגישה החיובית</w:t>
      </w:r>
      <w:r w:rsidRPr="00344181">
        <w:rPr>
          <w:rFonts w:ascii="David" w:hAnsi="David" w:cs="David"/>
          <w:sz w:val="24"/>
          <w:szCs w:val="24"/>
          <w:rtl/>
        </w:rPr>
        <w:t xml:space="preserve"> בתחום השקעות אחראיות ובמסגרת זו תעניק משקל יתר להשקעות בתאגידים שערכי ה-</w:t>
      </w:r>
      <w:r w:rsidRPr="00344181">
        <w:rPr>
          <w:rFonts w:ascii="David" w:hAnsi="David" w:cs="David"/>
          <w:sz w:val="24"/>
          <w:szCs w:val="24"/>
        </w:rPr>
        <w:t>ESG</w:t>
      </w:r>
      <w:r w:rsidRPr="00344181">
        <w:rPr>
          <w:rFonts w:ascii="David" w:hAnsi="David" w:cs="David"/>
          <w:sz w:val="24"/>
          <w:szCs w:val="24"/>
          <w:rtl/>
        </w:rPr>
        <w:t xml:space="preserve"> שלהם גבוהים ביחס לקבוצת הייחוס הרלוונטית אליה אותו תאגיד נשוא ההשקעה משתייך</w:t>
      </w:r>
      <w:r>
        <w:rPr>
          <w:rFonts w:ascii="David" w:hAnsi="David" w:cs="David"/>
          <w:sz w:val="24"/>
          <w:szCs w:val="24"/>
          <w:rtl/>
        </w:rPr>
        <w:t xml:space="preserve">, </w:t>
      </w:r>
      <w:r>
        <w:rPr>
          <w:rFonts w:ascii="David" w:hAnsi="David" w:cs="David" w:hint="cs"/>
          <w:sz w:val="24"/>
          <w:szCs w:val="24"/>
          <w:rtl/>
        </w:rPr>
        <w:t xml:space="preserve">זאת, גם </w:t>
      </w:r>
      <w:r>
        <w:rPr>
          <w:rFonts w:ascii="David" w:hAnsi="David" w:cs="David"/>
          <w:sz w:val="24"/>
          <w:szCs w:val="24"/>
          <w:rtl/>
        </w:rPr>
        <w:t xml:space="preserve">מתוך הנחה </w:t>
      </w:r>
      <w:r>
        <w:rPr>
          <w:rFonts w:ascii="David" w:hAnsi="David" w:cs="David"/>
          <w:w w:val="80"/>
          <w:sz w:val="24"/>
          <w:szCs w:val="24"/>
          <w:rtl/>
        </w:rPr>
        <w:t>שביצועי תיק ההשקעות (הן בהיבט ניהול הסיכונים והן בהיבט הביצועים הפיננסיים) יושפעו לטובה בשל חשיפה לתאגידים כאמור</w:t>
      </w:r>
      <w:r w:rsidRPr="00344181">
        <w:rPr>
          <w:rFonts w:ascii="David" w:hAnsi="David" w:cs="David"/>
          <w:sz w:val="24"/>
          <w:szCs w:val="24"/>
          <w:rtl/>
        </w:rPr>
        <w:t xml:space="preserve">. </w:t>
      </w:r>
    </w:p>
    <w:p w:rsidR="002D5A07" w:rsidRPr="00344181" w:rsidRDefault="002D5A07" w:rsidP="002D5A07">
      <w:pPr>
        <w:pStyle w:val="a5"/>
        <w:numPr>
          <w:ilvl w:val="0"/>
          <w:numId w:val="8"/>
        </w:numPr>
        <w:spacing w:line="360" w:lineRule="auto"/>
        <w:ind w:left="714" w:hanging="357"/>
        <w:contextualSpacing w:val="0"/>
        <w:jc w:val="both"/>
        <w:rPr>
          <w:rFonts w:ascii="David" w:hAnsi="David" w:cs="David"/>
          <w:sz w:val="24"/>
          <w:szCs w:val="24"/>
          <w:rtl/>
        </w:rPr>
      </w:pPr>
      <w:r w:rsidRPr="00344181">
        <w:rPr>
          <w:rFonts w:ascii="David" w:hAnsi="David" w:cs="David"/>
          <w:sz w:val="24"/>
          <w:szCs w:val="24"/>
          <w:rtl/>
        </w:rPr>
        <w:t xml:space="preserve">בהתאם, במסגרת בחינת חלופות השקעה בעלות מאפיינים כלכלים דומים או זהים – תוענק </w:t>
      </w:r>
      <w:r w:rsidRPr="00344181">
        <w:rPr>
          <w:rFonts w:ascii="David" w:hAnsi="David" w:cs="David"/>
          <w:sz w:val="24"/>
          <w:szCs w:val="24"/>
          <w:rtl/>
        </w:rPr>
        <w:tab/>
        <w:t>עדיפות להשקעות הטומנות בחובן גם ערכים מתחום ההשקעות האחראיות (לדוגמה מתן</w:t>
      </w:r>
      <w:r>
        <w:rPr>
          <w:rFonts w:ascii="David" w:hAnsi="David" w:cs="David" w:hint="cs"/>
          <w:sz w:val="24"/>
          <w:szCs w:val="24"/>
          <w:rtl/>
        </w:rPr>
        <w:t xml:space="preserve"> </w:t>
      </w:r>
      <w:r w:rsidRPr="00344181">
        <w:rPr>
          <w:rFonts w:ascii="David" w:hAnsi="David" w:cs="David"/>
          <w:sz w:val="24"/>
          <w:szCs w:val="24"/>
          <w:rtl/>
        </w:rPr>
        <w:t>העדפה להשקעה בתחום של אנרגיה מתחדשת על פני השקעה בתחום האנרגיה המסורתית</w:t>
      </w:r>
      <w:r>
        <w:rPr>
          <w:rFonts w:ascii="David" w:hAnsi="David" w:cs="David" w:hint="cs"/>
          <w:sz w:val="24"/>
          <w:szCs w:val="24"/>
          <w:rtl/>
        </w:rPr>
        <w:t xml:space="preserve"> </w:t>
      </w:r>
      <w:r w:rsidRPr="00344181">
        <w:rPr>
          <w:rFonts w:ascii="David" w:hAnsi="David" w:cs="David"/>
          <w:sz w:val="24"/>
          <w:szCs w:val="24"/>
          <w:rtl/>
        </w:rPr>
        <w:t xml:space="preserve">בתשואה דומה; או השקעה בתאגיד בתחום האנרגיה המסורתית המדורג במיקום עדיף ביחס לתאגיד בתחום האנרגיה המסורתית הנמצא באותה קבוצת ייחוס). </w:t>
      </w:r>
    </w:p>
    <w:p w:rsidR="002D5A07" w:rsidRDefault="002D5A07" w:rsidP="002D5A07">
      <w:pPr>
        <w:pStyle w:val="a5"/>
        <w:numPr>
          <w:ilvl w:val="0"/>
          <w:numId w:val="8"/>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החברה התקשרה עם ספק חיצוני לקבלת דוחות אנליטיים לבחינת היבטי </w:t>
      </w:r>
      <w:r w:rsidRPr="00344181">
        <w:rPr>
          <w:rFonts w:ascii="David" w:hAnsi="David" w:cs="David"/>
          <w:sz w:val="24"/>
          <w:szCs w:val="24"/>
        </w:rPr>
        <w:t>ESG</w:t>
      </w:r>
      <w:r w:rsidRPr="00344181">
        <w:rPr>
          <w:rFonts w:ascii="David" w:hAnsi="David" w:cs="David"/>
          <w:sz w:val="24"/>
          <w:szCs w:val="24"/>
          <w:rtl/>
        </w:rPr>
        <w:t xml:space="preserve"> בתאגידים נסחרים בשוק המקומי, המבוססים על מתודולוגיה סדורה הכוללת </w:t>
      </w:r>
      <w:r>
        <w:rPr>
          <w:rFonts w:ascii="David" w:hAnsi="David" w:cs="David" w:hint="cs"/>
          <w:sz w:val="24"/>
          <w:szCs w:val="24"/>
          <w:rtl/>
        </w:rPr>
        <w:t>ודוח סדור עבור כל תאגיד בו נבחנת השקעה</w:t>
      </w:r>
      <w:r w:rsidRPr="00344181">
        <w:rPr>
          <w:rFonts w:ascii="David" w:hAnsi="David" w:cs="David"/>
          <w:sz w:val="24"/>
          <w:szCs w:val="24"/>
          <w:rtl/>
        </w:rPr>
        <w:t xml:space="preserve">. </w:t>
      </w:r>
      <w:r w:rsidRPr="00344181">
        <w:rPr>
          <w:rFonts w:ascii="David" w:hAnsi="David" w:cs="David"/>
          <w:sz w:val="24"/>
          <w:szCs w:val="24"/>
        </w:rPr>
        <w:t xml:space="preserve"> </w:t>
      </w:r>
    </w:p>
    <w:p w:rsidR="002D5A07" w:rsidRDefault="002D5A07" w:rsidP="002D5A07">
      <w:pPr>
        <w:pStyle w:val="a5"/>
        <w:numPr>
          <w:ilvl w:val="0"/>
          <w:numId w:val="8"/>
        </w:numPr>
        <w:spacing w:line="360" w:lineRule="auto"/>
        <w:ind w:left="714" w:hanging="357"/>
        <w:contextualSpacing w:val="0"/>
        <w:jc w:val="both"/>
        <w:rPr>
          <w:rFonts w:ascii="David" w:hAnsi="David" w:cs="David"/>
          <w:sz w:val="24"/>
          <w:szCs w:val="24"/>
        </w:rPr>
      </w:pPr>
      <w:r>
        <w:rPr>
          <w:rFonts w:ascii="David" w:hAnsi="David" w:cs="David" w:hint="cs"/>
          <w:sz w:val="24"/>
          <w:szCs w:val="24"/>
          <w:rtl/>
        </w:rPr>
        <w:lastRenderedPageBreak/>
        <w:t xml:space="preserve">במסגרת אופן ניהול ההשקעות ובחירתם, יבחנו דוחות האחריות התאגידים והפרמטרים השונים הנכללים במסגרתם. החברה תהא רשאית להרחיב ולהתבסס על נתונים נוספים מעבר לפרמטרים הנכללים בדוחות. </w:t>
      </w:r>
    </w:p>
    <w:p w:rsidR="002D5A07" w:rsidRDefault="002D5A07" w:rsidP="002D5A07">
      <w:pPr>
        <w:pStyle w:val="a5"/>
        <w:numPr>
          <w:ilvl w:val="0"/>
          <w:numId w:val="8"/>
        </w:numPr>
        <w:spacing w:line="360" w:lineRule="auto"/>
        <w:ind w:left="714" w:hanging="357"/>
        <w:contextualSpacing w:val="0"/>
        <w:jc w:val="both"/>
        <w:rPr>
          <w:rFonts w:ascii="David" w:hAnsi="David" w:cs="David"/>
          <w:sz w:val="24"/>
          <w:szCs w:val="24"/>
        </w:rPr>
      </w:pPr>
      <w:r>
        <w:rPr>
          <w:rFonts w:ascii="David" w:hAnsi="David" w:cs="David" w:hint="cs"/>
          <w:sz w:val="24"/>
          <w:szCs w:val="24"/>
          <w:rtl/>
        </w:rPr>
        <w:t xml:space="preserve">בהתייחס להשקעות ישירות בתאגידים הנסחרים בחו"ל, החברה תעשה שימוש בדוחות ובנתונים המתקבלים ממערכות מידע פיננסי המקובלות בשוק. </w:t>
      </w:r>
    </w:p>
    <w:p w:rsidR="002D5A07" w:rsidRDefault="002D5A07" w:rsidP="002D5A07">
      <w:pPr>
        <w:pStyle w:val="a5"/>
        <w:numPr>
          <w:ilvl w:val="0"/>
          <w:numId w:val="8"/>
        </w:numPr>
        <w:spacing w:line="360" w:lineRule="auto"/>
        <w:ind w:left="714" w:hanging="357"/>
        <w:contextualSpacing w:val="0"/>
        <w:jc w:val="both"/>
        <w:rPr>
          <w:rFonts w:ascii="David" w:hAnsi="David" w:cs="David"/>
          <w:sz w:val="24"/>
          <w:szCs w:val="24"/>
        </w:rPr>
      </w:pPr>
      <w:r>
        <w:rPr>
          <w:rFonts w:ascii="David" w:hAnsi="David" w:cs="David" w:hint="cs"/>
          <w:sz w:val="24"/>
          <w:szCs w:val="24"/>
          <w:rtl/>
        </w:rPr>
        <w:t xml:space="preserve">יובהר כי ציון ו/או דירוג נמוך במסגרת הדוח או במסגרת פרמטרים הנכללים בו, אינו מוביל בהכרח להימנעות ו/או פסילת ההשקעה. </w:t>
      </w:r>
    </w:p>
    <w:p w:rsidR="002D5A07" w:rsidRPr="00344181" w:rsidRDefault="002D5A07" w:rsidP="002D5A07">
      <w:pPr>
        <w:pStyle w:val="a5"/>
        <w:numPr>
          <w:ilvl w:val="0"/>
          <w:numId w:val="8"/>
        </w:numPr>
        <w:spacing w:line="360" w:lineRule="auto"/>
        <w:ind w:left="714" w:hanging="357"/>
        <w:contextualSpacing w:val="0"/>
        <w:jc w:val="both"/>
        <w:rPr>
          <w:rFonts w:ascii="David" w:hAnsi="David" w:cs="David"/>
          <w:sz w:val="24"/>
          <w:szCs w:val="24"/>
        </w:rPr>
      </w:pPr>
      <w:r>
        <w:rPr>
          <w:rFonts w:ascii="David" w:hAnsi="David" w:cs="David" w:hint="cs"/>
          <w:sz w:val="24"/>
          <w:szCs w:val="24"/>
          <w:rtl/>
        </w:rPr>
        <w:t xml:space="preserve">מדי רבעון ובתום כל שנה תיערך סקירה על עדכונים בדוחות של התאגידים הרלוונטיים בתיק ההשקעות של החברה. </w:t>
      </w:r>
    </w:p>
    <w:p w:rsidR="002D5A07" w:rsidRDefault="002D5A07" w:rsidP="002D5A07">
      <w:pPr>
        <w:pStyle w:val="a5"/>
        <w:numPr>
          <w:ilvl w:val="0"/>
          <w:numId w:val="8"/>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הואיל והכללת שיקולי </w:t>
      </w:r>
      <w:r w:rsidRPr="00344181">
        <w:rPr>
          <w:rFonts w:ascii="David" w:hAnsi="David" w:cs="David"/>
          <w:sz w:val="24"/>
          <w:szCs w:val="24"/>
        </w:rPr>
        <w:t>ESG</w:t>
      </w:r>
      <w:r w:rsidRPr="00344181">
        <w:rPr>
          <w:rFonts w:ascii="David" w:hAnsi="David" w:cs="David"/>
          <w:sz w:val="24"/>
          <w:szCs w:val="24"/>
          <w:rtl/>
        </w:rPr>
        <w:t xml:space="preserve"> במסגרת בחינת חלופות השקעה נמצאת בשלביה הראשוניים, בשלב זה, לא תיושם מדיניות של הימנעות גורפת מהשקעות בענפים מסוימים</w:t>
      </w:r>
      <w:r>
        <w:rPr>
          <w:rFonts w:ascii="David" w:hAnsi="David" w:cs="David" w:hint="cs"/>
          <w:sz w:val="24"/>
          <w:szCs w:val="24"/>
          <w:rtl/>
        </w:rPr>
        <w:t xml:space="preserve"> אולם החברה הגדירה מדיניות של הסטת השקעות בתחומי </w:t>
      </w:r>
      <w:r w:rsidRPr="00B12BD4">
        <w:rPr>
          <w:rFonts w:ascii="David" w:hAnsi="David" w:cs="David" w:hint="cs"/>
          <w:sz w:val="24"/>
          <w:szCs w:val="24"/>
          <w:rtl/>
        </w:rPr>
        <w:t>האנרגיה</w:t>
      </w:r>
      <w:r w:rsidRPr="00B12BD4">
        <w:rPr>
          <w:rFonts w:ascii="David" w:hAnsi="David" w:cs="David"/>
          <w:sz w:val="24"/>
          <w:szCs w:val="24"/>
          <w:rtl/>
        </w:rPr>
        <w:t xml:space="preserve"> והתשתיות </w:t>
      </w:r>
      <w:proofErr w:type="spellStart"/>
      <w:r w:rsidRPr="00B12BD4">
        <w:rPr>
          <w:rFonts w:ascii="David" w:hAnsi="David" w:cs="David" w:hint="cs"/>
          <w:sz w:val="24"/>
          <w:szCs w:val="24"/>
          <w:rtl/>
        </w:rPr>
        <w:t>הפוסיליים</w:t>
      </w:r>
      <w:proofErr w:type="spellEnd"/>
      <w:r w:rsidRPr="00DA16A4">
        <w:rPr>
          <w:rFonts w:ascii="David" w:hAnsi="David" w:cs="David"/>
          <w:sz w:val="16"/>
          <w:szCs w:val="16"/>
          <w:vertAlign w:val="superscript"/>
          <w:rtl/>
        </w:rPr>
        <w:footnoteReference w:id="2"/>
      </w:r>
      <w:r w:rsidRPr="00DA16A4">
        <w:rPr>
          <w:rFonts w:ascii="David" w:hAnsi="David" w:cs="David"/>
          <w:sz w:val="16"/>
          <w:szCs w:val="16"/>
          <w:vertAlign w:val="superscript"/>
          <w:rtl/>
        </w:rPr>
        <w:t xml:space="preserve"> </w:t>
      </w:r>
      <w:r>
        <w:rPr>
          <w:rFonts w:ascii="David" w:hAnsi="David" w:cs="David" w:hint="cs"/>
          <w:sz w:val="24"/>
          <w:szCs w:val="24"/>
          <w:rtl/>
        </w:rPr>
        <w:t>והקטנת החשיפה אליהם במסגרת תיק ההשקעות הכולל</w:t>
      </w:r>
      <w:r w:rsidRPr="00344181">
        <w:rPr>
          <w:rFonts w:ascii="David" w:hAnsi="David" w:cs="David"/>
          <w:sz w:val="24"/>
          <w:szCs w:val="24"/>
          <w:rtl/>
        </w:rPr>
        <w:t xml:space="preserve">.  </w:t>
      </w:r>
    </w:p>
    <w:p w:rsidR="002D5A07" w:rsidRDefault="002D5A07" w:rsidP="002D5A07">
      <w:pPr>
        <w:pStyle w:val="a5"/>
        <w:numPr>
          <w:ilvl w:val="0"/>
          <w:numId w:val="8"/>
        </w:numPr>
        <w:spacing w:line="360" w:lineRule="auto"/>
        <w:ind w:left="714" w:hanging="357"/>
        <w:contextualSpacing w:val="0"/>
        <w:jc w:val="both"/>
        <w:rPr>
          <w:rFonts w:ascii="David" w:hAnsi="David" w:cs="David"/>
          <w:sz w:val="24"/>
          <w:szCs w:val="24"/>
        </w:rPr>
      </w:pPr>
      <w:r>
        <w:rPr>
          <w:rFonts w:ascii="David" w:hAnsi="David" w:cs="David" w:hint="cs"/>
          <w:sz w:val="24"/>
          <w:szCs w:val="24"/>
          <w:rtl/>
        </w:rPr>
        <w:t xml:space="preserve">החברה באישור ועדת השקעות רשאית לקבוע כללים וסייגים אשר יובילו לחריגה ממדיניות זו במקרים ובהם תאגידים כאמור מבצעים שינוי באסטרטגיה העסקית ויציאה מתחום האנרגיה </w:t>
      </w:r>
      <w:proofErr w:type="spellStart"/>
      <w:r>
        <w:rPr>
          <w:rFonts w:ascii="David" w:hAnsi="David" w:cs="David" w:hint="cs"/>
          <w:sz w:val="24"/>
          <w:szCs w:val="24"/>
          <w:rtl/>
        </w:rPr>
        <w:t>הפוסילית</w:t>
      </w:r>
      <w:proofErr w:type="spellEnd"/>
      <w:r>
        <w:rPr>
          <w:rFonts w:ascii="David" w:hAnsi="David" w:cs="David" w:hint="cs"/>
          <w:sz w:val="24"/>
          <w:szCs w:val="24"/>
          <w:rtl/>
        </w:rPr>
        <w:t xml:space="preserve"> וכן במצבי שוק קיצוניים לרבות בנסיבות של משבר אנרגטי חריף, משברים גיאופוליטיים ותנודתיות חדה במחירי </w:t>
      </w:r>
      <w:proofErr w:type="spellStart"/>
      <w:r>
        <w:rPr>
          <w:rFonts w:ascii="David" w:hAnsi="David" w:cs="David" w:hint="cs"/>
          <w:sz w:val="24"/>
          <w:szCs w:val="24"/>
          <w:rtl/>
        </w:rPr>
        <w:t>הדלקים</w:t>
      </w:r>
      <w:proofErr w:type="spellEnd"/>
      <w:r>
        <w:rPr>
          <w:rFonts w:ascii="David" w:hAnsi="David" w:cs="David" w:hint="cs"/>
          <w:sz w:val="24"/>
          <w:szCs w:val="24"/>
          <w:rtl/>
        </w:rPr>
        <w:t xml:space="preserve"> והאנרגיה. </w:t>
      </w:r>
    </w:p>
    <w:p w:rsidR="002D5A07" w:rsidRPr="00344181" w:rsidRDefault="002D5A07" w:rsidP="002D5A07">
      <w:pPr>
        <w:spacing w:line="360" w:lineRule="auto"/>
        <w:jc w:val="both"/>
        <w:rPr>
          <w:rFonts w:ascii="David" w:hAnsi="David" w:cs="David"/>
          <w:b/>
          <w:bCs/>
          <w:sz w:val="24"/>
          <w:szCs w:val="24"/>
          <w:u w:val="single"/>
          <w:rtl/>
        </w:rPr>
      </w:pPr>
      <w:r w:rsidRPr="00344181">
        <w:rPr>
          <w:rFonts w:ascii="David" w:hAnsi="David" w:cs="David"/>
          <w:b/>
          <w:bCs/>
          <w:sz w:val="24"/>
          <w:szCs w:val="24"/>
          <w:u w:val="single"/>
          <w:rtl/>
        </w:rPr>
        <w:t>ממשל תאגידי</w:t>
      </w:r>
    </w:p>
    <w:p w:rsidR="002D5A07" w:rsidRDefault="002D5A07" w:rsidP="002D5A07">
      <w:pPr>
        <w:pStyle w:val="a5"/>
        <w:numPr>
          <w:ilvl w:val="0"/>
          <w:numId w:val="8"/>
        </w:numPr>
        <w:spacing w:line="360" w:lineRule="auto"/>
        <w:jc w:val="both"/>
        <w:rPr>
          <w:rFonts w:ascii="David" w:hAnsi="David" w:cs="David"/>
          <w:sz w:val="24"/>
          <w:szCs w:val="24"/>
        </w:rPr>
      </w:pPr>
      <w:r w:rsidRPr="00344181">
        <w:rPr>
          <w:rFonts w:ascii="David" w:hAnsi="David" w:cs="David"/>
          <w:sz w:val="24"/>
          <w:szCs w:val="24"/>
          <w:rtl/>
        </w:rPr>
        <w:t>לחברה מדיניות סדורה בנושא אשר עיקריה מפורסמת באתר האינטרנט של החברה, המבוססת על מודל מובנה</w:t>
      </w:r>
      <w:r>
        <w:rPr>
          <w:rFonts w:ascii="David" w:hAnsi="David" w:cs="David" w:hint="cs"/>
          <w:sz w:val="24"/>
          <w:szCs w:val="24"/>
          <w:rtl/>
        </w:rPr>
        <w:t xml:space="preserve"> שנקבע בידי ועדת ההשקעות</w:t>
      </w:r>
      <w:r w:rsidRPr="00344181">
        <w:rPr>
          <w:rFonts w:ascii="David" w:hAnsi="David" w:cs="David"/>
          <w:sz w:val="24"/>
          <w:szCs w:val="24"/>
          <w:rtl/>
        </w:rPr>
        <w:t>. ככל ותתקבל החלטה על השקעה בתאגידים אשר ציון הממשל התאגידי שלהם נמוך מהסף אותו קבעה החברה, יידרש אישור מראש מצד מנהל ההשקעות הראשי לביצוע / המשך ההשקעה בצרוף נימוקים ונסיבות מיוחדות לביצוע ההשקעה כאמור.</w:t>
      </w:r>
    </w:p>
    <w:p w:rsidR="002D5A07" w:rsidRPr="00344181" w:rsidRDefault="002D5A07" w:rsidP="002D5A07">
      <w:pPr>
        <w:spacing w:line="360" w:lineRule="auto"/>
        <w:jc w:val="both"/>
        <w:rPr>
          <w:rFonts w:ascii="David" w:hAnsi="David" w:cs="David"/>
          <w:b/>
          <w:bCs/>
          <w:sz w:val="24"/>
          <w:szCs w:val="24"/>
          <w:u w:val="single"/>
          <w:rtl/>
        </w:rPr>
      </w:pPr>
      <w:r w:rsidRPr="00344181">
        <w:rPr>
          <w:rFonts w:ascii="David" w:hAnsi="David" w:cs="David"/>
          <w:b/>
          <w:bCs/>
          <w:sz w:val="24"/>
          <w:szCs w:val="24"/>
          <w:u w:val="single"/>
          <w:rtl/>
        </w:rPr>
        <w:t>היבטים סביבתיים</w:t>
      </w:r>
    </w:p>
    <w:p w:rsidR="002D5A07" w:rsidRDefault="002D5A07" w:rsidP="002D5A07">
      <w:pPr>
        <w:pStyle w:val="a5"/>
        <w:numPr>
          <w:ilvl w:val="0"/>
          <w:numId w:val="8"/>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בהשקעה בתאגידים בעלי פוטנציאל להתממשות של סיכוני סביבה ואקלים  יילקחו בחשבון במסגרת התמחור של ההשקעה  הסיכונים הסביבתיים ואופן ההתמודדות של התאגיד נשוא ההשקעה מול סיכונים אלו. </w:t>
      </w:r>
    </w:p>
    <w:p w:rsidR="002D5A07" w:rsidRPr="00344181" w:rsidRDefault="002D5A07" w:rsidP="002D5A07">
      <w:pPr>
        <w:pStyle w:val="a5"/>
        <w:numPr>
          <w:ilvl w:val="0"/>
          <w:numId w:val="8"/>
        </w:numPr>
        <w:spacing w:line="360" w:lineRule="auto"/>
        <w:ind w:left="714" w:hanging="357"/>
        <w:contextualSpacing w:val="0"/>
        <w:jc w:val="both"/>
        <w:rPr>
          <w:rFonts w:ascii="David" w:hAnsi="David" w:cs="David"/>
          <w:sz w:val="24"/>
          <w:szCs w:val="24"/>
        </w:rPr>
      </w:pPr>
      <w:r>
        <w:rPr>
          <w:rFonts w:ascii="David" w:hAnsi="David" w:cs="David" w:hint="cs"/>
          <w:sz w:val="24"/>
          <w:szCs w:val="24"/>
          <w:rtl/>
        </w:rPr>
        <w:lastRenderedPageBreak/>
        <w:t xml:space="preserve">במסגרת זו ייבחנו סוגיות </w:t>
      </w:r>
      <w:proofErr w:type="spellStart"/>
      <w:r>
        <w:rPr>
          <w:rFonts w:ascii="David" w:hAnsi="David" w:cs="David" w:hint="cs"/>
          <w:sz w:val="24"/>
          <w:szCs w:val="24"/>
          <w:rtl/>
        </w:rPr>
        <w:t>מימוניות</w:t>
      </w:r>
      <w:proofErr w:type="spellEnd"/>
      <w:r>
        <w:rPr>
          <w:rFonts w:ascii="David" w:hAnsi="David" w:cs="David" w:hint="cs"/>
          <w:sz w:val="24"/>
          <w:szCs w:val="24"/>
          <w:rtl/>
        </w:rPr>
        <w:t xml:space="preserve"> הנוגעות לכושר ההחזר של התאגיד נשוא ההשקעה והפוטנציאל להשתת קנסות, עיצומים, ופסיקת פיצויים בגין הפרות ונזקים סביבתיים לצד נגישות למקורות מימון ויכולת למחזר את החוב כתוצאה מהתממשות סיכון של הגבלת מימון לתאגידים בעלי פרופיל סיכון סביבתי.</w:t>
      </w:r>
    </w:p>
    <w:p w:rsidR="002D5A07" w:rsidRPr="00DA16A4" w:rsidRDefault="002D5A07" w:rsidP="002D5A07">
      <w:pPr>
        <w:spacing w:line="360" w:lineRule="auto"/>
        <w:jc w:val="both"/>
        <w:rPr>
          <w:rFonts w:ascii="David" w:hAnsi="David" w:cs="David"/>
          <w:b/>
          <w:bCs/>
          <w:sz w:val="24"/>
          <w:szCs w:val="24"/>
          <w:u w:val="single"/>
        </w:rPr>
      </w:pPr>
      <w:r w:rsidRPr="00DA16A4">
        <w:rPr>
          <w:rFonts w:ascii="David" w:hAnsi="David" w:cs="David" w:hint="eastAsia"/>
          <w:b/>
          <w:bCs/>
          <w:sz w:val="24"/>
          <w:szCs w:val="24"/>
          <w:u w:val="single"/>
          <w:rtl/>
        </w:rPr>
        <w:t>השקעות</w:t>
      </w:r>
      <w:r w:rsidRPr="00DA16A4">
        <w:rPr>
          <w:rFonts w:ascii="David" w:hAnsi="David" w:cs="David"/>
          <w:b/>
          <w:bCs/>
          <w:sz w:val="24"/>
          <w:szCs w:val="24"/>
          <w:u w:val="single"/>
          <w:rtl/>
        </w:rPr>
        <w:t xml:space="preserve"> </w:t>
      </w:r>
      <w:r w:rsidRPr="00DA16A4">
        <w:rPr>
          <w:rFonts w:ascii="David" w:hAnsi="David" w:cs="David" w:hint="eastAsia"/>
          <w:b/>
          <w:bCs/>
          <w:sz w:val="24"/>
          <w:szCs w:val="24"/>
          <w:u w:val="single"/>
          <w:rtl/>
        </w:rPr>
        <w:t>לא</w:t>
      </w:r>
      <w:r w:rsidRPr="00DA16A4">
        <w:rPr>
          <w:rFonts w:ascii="David" w:hAnsi="David" w:cs="David"/>
          <w:b/>
          <w:bCs/>
          <w:sz w:val="24"/>
          <w:szCs w:val="24"/>
          <w:u w:val="single"/>
          <w:rtl/>
        </w:rPr>
        <w:t xml:space="preserve"> </w:t>
      </w:r>
      <w:r w:rsidRPr="00DA16A4">
        <w:rPr>
          <w:rFonts w:ascii="David" w:hAnsi="David" w:cs="David" w:hint="eastAsia"/>
          <w:b/>
          <w:bCs/>
          <w:sz w:val="24"/>
          <w:szCs w:val="24"/>
          <w:u w:val="single"/>
          <w:rtl/>
        </w:rPr>
        <w:t>סחירות</w:t>
      </w:r>
    </w:p>
    <w:p w:rsidR="002D5A07" w:rsidRDefault="002D5A07" w:rsidP="002D5A07">
      <w:pPr>
        <w:pStyle w:val="a5"/>
        <w:numPr>
          <w:ilvl w:val="0"/>
          <w:numId w:val="8"/>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במסגרת ניתוח של השקעות לא סחירות יפורטו במסגרת עבודות האנליזה גורמי הסיכון </w:t>
      </w:r>
      <w:r>
        <w:rPr>
          <w:rFonts w:ascii="David" w:hAnsi="David" w:cs="David" w:hint="cs"/>
          <w:sz w:val="24"/>
          <w:szCs w:val="24"/>
          <w:rtl/>
        </w:rPr>
        <w:t xml:space="preserve">סביבתיים או אקלימיים </w:t>
      </w:r>
      <w:r w:rsidRPr="00344181">
        <w:rPr>
          <w:rFonts w:ascii="David" w:hAnsi="David" w:cs="David"/>
          <w:sz w:val="24"/>
          <w:szCs w:val="24"/>
          <w:rtl/>
        </w:rPr>
        <w:t>והשפעתם על התאגיד נשוא ההשקעה</w:t>
      </w:r>
      <w:r>
        <w:rPr>
          <w:rFonts w:ascii="David" w:hAnsi="David" w:cs="David" w:hint="cs"/>
          <w:sz w:val="24"/>
          <w:szCs w:val="24"/>
          <w:rtl/>
        </w:rPr>
        <w:t xml:space="preserve"> (לרבות בכל הנוגע למקורות המימון שלו בעתיד, היבטים רגולטוריים ומשפטיים והיבטים בתחום המוניטין)</w:t>
      </w:r>
      <w:r w:rsidRPr="00344181">
        <w:rPr>
          <w:rFonts w:ascii="David" w:hAnsi="David" w:cs="David"/>
          <w:sz w:val="24"/>
          <w:szCs w:val="24"/>
          <w:rtl/>
        </w:rPr>
        <w:t>.</w:t>
      </w:r>
      <w:r>
        <w:rPr>
          <w:rFonts w:ascii="David" w:hAnsi="David" w:cs="David" w:hint="cs"/>
          <w:sz w:val="24"/>
          <w:szCs w:val="24"/>
          <w:rtl/>
        </w:rPr>
        <w:t xml:space="preserve"> ברמה המעשית, החברה תיעזר בשאלוני </w:t>
      </w:r>
      <w:r>
        <w:rPr>
          <w:rFonts w:ascii="David" w:hAnsi="David" w:cs="David" w:hint="cs"/>
          <w:sz w:val="24"/>
          <w:szCs w:val="24"/>
        </w:rPr>
        <w:t xml:space="preserve">ESG </w:t>
      </w:r>
      <w:r>
        <w:rPr>
          <w:rFonts w:ascii="David" w:hAnsi="David" w:cs="David" w:hint="cs"/>
          <w:sz w:val="24"/>
          <w:szCs w:val="24"/>
          <w:rtl/>
        </w:rPr>
        <w:t xml:space="preserve"> ייעודים לעסקאות לא סחירות. מובהר כי החברה רשאית לערוך שינויים בשאלונים אלו ו/או לתת דגש להיבטים מסוימים בשאלונים כאמור, בהתאם לנסיבות הפרטניות של כל עסקה. </w:t>
      </w:r>
    </w:p>
    <w:p w:rsidR="002D5A07" w:rsidRPr="00344181" w:rsidRDefault="002D5A07" w:rsidP="002D5A07">
      <w:pPr>
        <w:spacing w:line="360" w:lineRule="auto"/>
        <w:jc w:val="both"/>
        <w:rPr>
          <w:rFonts w:ascii="David" w:hAnsi="David" w:cs="David"/>
          <w:b/>
          <w:bCs/>
          <w:sz w:val="24"/>
          <w:szCs w:val="24"/>
          <w:u w:val="single"/>
          <w:rtl/>
        </w:rPr>
      </w:pPr>
      <w:r w:rsidRPr="00344181">
        <w:rPr>
          <w:rFonts w:ascii="David" w:hAnsi="David" w:cs="David"/>
          <w:b/>
          <w:bCs/>
          <w:sz w:val="24"/>
          <w:szCs w:val="24"/>
          <w:u w:val="single"/>
          <w:rtl/>
        </w:rPr>
        <w:t>היבטים חברתיים</w:t>
      </w:r>
    </w:p>
    <w:p w:rsidR="002D5A07" w:rsidRPr="00344181" w:rsidRDefault="002D5A07" w:rsidP="002D5A07">
      <w:pPr>
        <w:pStyle w:val="a5"/>
        <w:numPr>
          <w:ilvl w:val="0"/>
          <w:numId w:val="8"/>
        </w:numPr>
        <w:spacing w:line="360" w:lineRule="auto"/>
        <w:ind w:left="714" w:hanging="357"/>
        <w:contextualSpacing w:val="0"/>
        <w:jc w:val="both"/>
        <w:rPr>
          <w:rFonts w:ascii="David" w:hAnsi="David" w:cs="David"/>
          <w:sz w:val="24"/>
          <w:szCs w:val="24"/>
          <w:rtl/>
        </w:rPr>
      </w:pPr>
      <w:r w:rsidRPr="00344181">
        <w:rPr>
          <w:rFonts w:ascii="David" w:hAnsi="David" w:cs="David"/>
          <w:sz w:val="24"/>
          <w:szCs w:val="24"/>
          <w:rtl/>
        </w:rPr>
        <w:t>החברה תימנע מביצוע השקעות במדינות שלגביהן חל איסור לבצע השקעה ו/או במדינות אשר מופעלות לגביהן סנקציות על ידי מוסדות בינלאומיים.</w:t>
      </w:r>
    </w:p>
    <w:p w:rsidR="002D5A07" w:rsidRPr="00344181" w:rsidRDefault="002D5A07" w:rsidP="002D5A07">
      <w:pPr>
        <w:pStyle w:val="a5"/>
        <w:numPr>
          <w:ilvl w:val="0"/>
          <w:numId w:val="8"/>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במסגרת ביצוע עסקאות לא סחירות, לא יבוצעו התקשרויות מול בעלי שליטה אשר הורשעו ברף </w:t>
      </w:r>
      <w:r>
        <w:rPr>
          <w:rFonts w:ascii="David" w:hAnsi="David" w:cs="David" w:hint="cs"/>
          <w:sz w:val="24"/>
          <w:szCs w:val="24"/>
          <w:rtl/>
        </w:rPr>
        <w:t>העליון</w:t>
      </w:r>
      <w:r w:rsidRPr="00344181">
        <w:rPr>
          <w:rFonts w:ascii="David" w:hAnsi="David" w:cs="David"/>
          <w:sz w:val="24"/>
          <w:szCs w:val="24"/>
          <w:rtl/>
        </w:rPr>
        <w:t xml:space="preserve"> של עבירות פליליות הנוגעות, בין היתר, לסחר בבני אדם, סמים, הברחות חומרים מסוכנים, סחר עם מדינות אויב וכיו"ב. </w:t>
      </w:r>
    </w:p>
    <w:p w:rsidR="002D5A07" w:rsidRDefault="002D5A07" w:rsidP="002D5A07">
      <w:pPr>
        <w:pStyle w:val="a5"/>
        <w:numPr>
          <w:ilvl w:val="0"/>
          <w:numId w:val="8"/>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במסגרת תהליך בחינת ההשקעות, תיבחן האפשרות לשלב השקעות </w:t>
      </w:r>
      <w:r w:rsidRPr="00344181">
        <w:rPr>
          <w:rFonts w:ascii="David" w:hAnsi="David" w:cs="David"/>
          <w:sz w:val="24"/>
          <w:szCs w:val="24"/>
        </w:rPr>
        <w:t>Impact</w:t>
      </w:r>
      <w:r w:rsidRPr="00344181">
        <w:rPr>
          <w:rFonts w:ascii="David" w:hAnsi="David" w:cs="David"/>
          <w:sz w:val="24"/>
          <w:szCs w:val="24"/>
          <w:rtl/>
        </w:rPr>
        <w:t xml:space="preserve"> בשים לב למאפיינים הפרטניים של כל השקעה, והתאמת ההשקעה לפרמטרים הקבועים במדיניות החברה להשקעה בקרנות השקעה (בהיבטים של תשואה, חשיפה לענפים ולגיאוגרפיות ורמת סיכון)</w:t>
      </w:r>
      <w:r>
        <w:rPr>
          <w:rFonts w:ascii="David" w:hAnsi="David" w:cs="David" w:hint="cs"/>
          <w:sz w:val="24"/>
          <w:szCs w:val="24"/>
          <w:rtl/>
        </w:rPr>
        <w:t xml:space="preserve"> וכן יינתן </w:t>
      </w:r>
      <w:r w:rsidRPr="00DD7079">
        <w:rPr>
          <w:rFonts w:ascii="David" w:hAnsi="David" w:cs="David" w:hint="cs"/>
          <w:sz w:val="24"/>
          <w:szCs w:val="24"/>
          <w:rtl/>
        </w:rPr>
        <w:t xml:space="preserve">משקל יתר </w:t>
      </w:r>
      <w:r w:rsidRPr="00DD7079">
        <w:rPr>
          <w:rFonts w:ascii="David" w:hAnsi="David" w:cs="David"/>
          <w:sz w:val="24"/>
          <w:szCs w:val="24"/>
          <w:rtl/>
        </w:rPr>
        <w:t>לתאגידים שיבחרו ליישם גישה קשובה ופומבית שבמסגרתה החתירה לרווחיות פיננסית של התאגיד שזורה בחתירה להשאת ערך עבור יתר מחזיקי העניין (לרבות בעלי מניות מיעוט, נושים, עובדים, לקוחות, ספקים וקהילה).</w:t>
      </w:r>
      <w:r>
        <w:rPr>
          <w:rFonts w:ascii="David" w:hAnsi="David" w:cs="David" w:hint="cs"/>
          <w:sz w:val="24"/>
          <w:szCs w:val="24"/>
          <w:rtl/>
        </w:rPr>
        <w:t xml:space="preserve"> זאת ועוד ככל ומדובר בהשקעות בחברות סחירות שלגביהן מתקבלת סקירה אנליטית מהספק, עבודת המחקר ממפה את מקורות ההכנסה ממוצרים ושירותים ברי קיימא על פי הקריטריונים שנקבעו על ידי ארגון האומות המאוחדות ("</w:t>
      </w:r>
      <w:r w:rsidRPr="00DA16A4">
        <w:rPr>
          <w:rFonts w:ascii="David" w:hAnsi="David" w:cs="David"/>
          <w:b/>
          <w:bCs/>
          <w:sz w:val="24"/>
          <w:szCs w:val="24"/>
        </w:rPr>
        <w:t>SDG</w:t>
      </w:r>
      <w:r>
        <w:rPr>
          <w:rFonts w:ascii="David" w:hAnsi="David" w:cs="David" w:hint="cs"/>
          <w:sz w:val="24"/>
          <w:szCs w:val="24"/>
          <w:rtl/>
        </w:rPr>
        <w:t xml:space="preserve">"). </w:t>
      </w:r>
    </w:p>
    <w:p w:rsidR="002D5A07" w:rsidRPr="00DD7079" w:rsidRDefault="002D5A07" w:rsidP="002D5A07">
      <w:pPr>
        <w:pStyle w:val="a5"/>
        <w:spacing w:line="360" w:lineRule="auto"/>
        <w:ind w:left="714"/>
        <w:contextualSpacing w:val="0"/>
        <w:jc w:val="both"/>
        <w:rPr>
          <w:rFonts w:ascii="David" w:hAnsi="David" w:cs="David"/>
          <w:sz w:val="24"/>
          <w:szCs w:val="24"/>
        </w:rPr>
      </w:pPr>
    </w:p>
    <w:p w:rsidR="002D5A07" w:rsidRPr="00344181" w:rsidRDefault="002D5A07" w:rsidP="002D5A07">
      <w:pPr>
        <w:spacing w:line="360" w:lineRule="auto"/>
        <w:jc w:val="both"/>
        <w:rPr>
          <w:rFonts w:ascii="David" w:hAnsi="David" w:cs="David"/>
          <w:b/>
          <w:bCs/>
          <w:sz w:val="24"/>
          <w:szCs w:val="24"/>
          <w:u w:val="single"/>
          <w:rtl/>
        </w:rPr>
      </w:pPr>
      <w:r w:rsidRPr="00344181">
        <w:rPr>
          <w:rFonts w:ascii="David" w:hAnsi="David" w:cs="David"/>
          <w:b/>
          <w:bCs/>
          <w:sz w:val="24"/>
          <w:szCs w:val="24"/>
          <w:u w:val="single"/>
          <w:rtl/>
        </w:rPr>
        <w:t xml:space="preserve">הכשרה ופיתוח מומחיות  </w:t>
      </w:r>
    </w:p>
    <w:p w:rsidR="002D5A07" w:rsidRPr="00344181" w:rsidRDefault="002D5A07" w:rsidP="002D5A07">
      <w:pPr>
        <w:pStyle w:val="a5"/>
        <w:numPr>
          <w:ilvl w:val="0"/>
          <w:numId w:val="8"/>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על מנת לפתח את המודעות והמומחיות בנושא, עובדי מערך ההשקעות והמחקר ישתתפו בהשתלמויות, הרצאות והעשרות בנושאי השקעות אחראיו</w:t>
      </w:r>
      <w:r>
        <w:rPr>
          <w:rFonts w:ascii="David" w:hAnsi="David" w:cs="David" w:hint="cs"/>
          <w:sz w:val="24"/>
          <w:szCs w:val="24"/>
          <w:rtl/>
        </w:rPr>
        <w:t>ת.</w:t>
      </w:r>
    </w:p>
    <w:p w:rsidR="002D5A07" w:rsidRDefault="002D5A07" w:rsidP="002D5A07">
      <w:pPr>
        <w:spacing w:line="360" w:lineRule="auto"/>
        <w:jc w:val="both"/>
        <w:rPr>
          <w:rFonts w:ascii="David" w:hAnsi="David" w:cs="David"/>
          <w:b/>
          <w:bCs/>
          <w:sz w:val="24"/>
          <w:szCs w:val="24"/>
          <w:u w:val="single"/>
          <w:rtl/>
        </w:rPr>
      </w:pPr>
      <w:r>
        <w:rPr>
          <w:rFonts w:ascii="David" w:hAnsi="David" w:cs="David" w:hint="cs"/>
          <w:b/>
          <w:bCs/>
          <w:sz w:val="24"/>
          <w:szCs w:val="24"/>
          <w:u w:val="single"/>
          <w:rtl/>
        </w:rPr>
        <w:t>מניעת ניגודי עניינים</w:t>
      </w:r>
    </w:p>
    <w:p w:rsidR="002D5A07" w:rsidRPr="00694115" w:rsidRDefault="002D5A07" w:rsidP="002D5A07">
      <w:pPr>
        <w:pStyle w:val="a5"/>
        <w:numPr>
          <w:ilvl w:val="0"/>
          <w:numId w:val="8"/>
        </w:numPr>
        <w:spacing w:line="360" w:lineRule="auto"/>
        <w:ind w:left="714" w:hanging="357"/>
        <w:contextualSpacing w:val="0"/>
        <w:jc w:val="both"/>
        <w:rPr>
          <w:rFonts w:ascii="David" w:hAnsi="David" w:cs="David"/>
          <w:b/>
          <w:bCs/>
          <w:sz w:val="24"/>
          <w:szCs w:val="24"/>
          <w:u w:val="single"/>
          <w:rtl/>
        </w:rPr>
      </w:pPr>
      <w:r w:rsidRPr="00694115">
        <w:rPr>
          <w:rFonts w:ascii="David" w:hAnsi="David" w:cs="David" w:hint="cs"/>
          <w:sz w:val="24"/>
          <w:szCs w:val="24"/>
          <w:rtl/>
        </w:rPr>
        <w:t xml:space="preserve">על מנת </w:t>
      </w:r>
      <w:r>
        <w:rPr>
          <w:rFonts w:ascii="David" w:hAnsi="David" w:cs="David" w:hint="cs"/>
          <w:sz w:val="24"/>
          <w:szCs w:val="24"/>
          <w:rtl/>
        </w:rPr>
        <w:t xml:space="preserve">למנוע </w:t>
      </w:r>
      <w:r w:rsidRPr="00694115">
        <w:rPr>
          <w:rFonts w:ascii="David" w:hAnsi="David" w:cs="David" w:hint="cs"/>
          <w:sz w:val="24"/>
          <w:szCs w:val="24"/>
          <w:rtl/>
        </w:rPr>
        <w:t>פוטנציאל להתקיימותם של ניגודי עניינים מצד הספק החיצוני, החברה מצאה לנכון ל</w:t>
      </w:r>
      <w:r w:rsidRPr="00DD6AEA">
        <w:rPr>
          <w:rFonts w:ascii="David" w:hAnsi="David" w:cs="David" w:hint="cs"/>
          <w:sz w:val="24"/>
          <w:szCs w:val="24"/>
          <w:rtl/>
        </w:rPr>
        <w:t>הת</w:t>
      </w:r>
      <w:r w:rsidRPr="00694115">
        <w:rPr>
          <w:rFonts w:ascii="David" w:hAnsi="David" w:cs="David" w:hint="cs"/>
          <w:sz w:val="24"/>
          <w:szCs w:val="24"/>
          <w:rtl/>
        </w:rPr>
        <w:t xml:space="preserve">קשר עם </w:t>
      </w:r>
      <w:r>
        <w:rPr>
          <w:rFonts w:ascii="David" w:hAnsi="David" w:cs="David" w:hint="cs"/>
          <w:sz w:val="24"/>
          <w:szCs w:val="24"/>
          <w:rtl/>
        </w:rPr>
        <w:t xml:space="preserve">ספק  (חברת מחקר), </w:t>
      </w:r>
      <w:r w:rsidRPr="00694115">
        <w:rPr>
          <w:rFonts w:ascii="David" w:hAnsi="David" w:cs="David" w:hint="cs"/>
          <w:sz w:val="24"/>
          <w:szCs w:val="24"/>
          <w:rtl/>
        </w:rPr>
        <w:t xml:space="preserve"> אשר אינה נותנת יעוץ </w:t>
      </w:r>
      <w:r w:rsidRPr="00694115">
        <w:rPr>
          <w:rFonts w:ascii="David" w:hAnsi="David" w:cs="David" w:hint="cs"/>
          <w:sz w:val="24"/>
          <w:szCs w:val="24"/>
        </w:rPr>
        <w:t>ESG</w:t>
      </w:r>
      <w:r w:rsidRPr="00694115">
        <w:rPr>
          <w:rFonts w:ascii="David" w:hAnsi="David" w:cs="David" w:hint="cs"/>
          <w:sz w:val="24"/>
          <w:szCs w:val="24"/>
          <w:rtl/>
        </w:rPr>
        <w:t xml:space="preserve"> לחברות </w:t>
      </w:r>
      <w:r w:rsidRPr="00694115">
        <w:rPr>
          <w:rFonts w:ascii="David" w:hAnsi="David" w:cs="David" w:hint="cs"/>
          <w:sz w:val="24"/>
          <w:szCs w:val="24"/>
          <w:rtl/>
        </w:rPr>
        <w:lastRenderedPageBreak/>
        <w:t>ציבוריות ובכך לא נמצאת בניגוד עניינים</w:t>
      </w:r>
      <w:r>
        <w:rPr>
          <w:rFonts w:ascii="David" w:hAnsi="David" w:cs="David" w:hint="cs"/>
          <w:sz w:val="24"/>
          <w:szCs w:val="24"/>
          <w:rtl/>
        </w:rPr>
        <w:t xml:space="preserve">. מבלי לגרוע מכלליות האמור, </w:t>
      </w:r>
      <w:proofErr w:type="spellStart"/>
      <w:r>
        <w:rPr>
          <w:rFonts w:ascii="David" w:hAnsi="David" w:cs="David" w:hint="cs"/>
          <w:sz w:val="24"/>
          <w:szCs w:val="24"/>
          <w:rtl/>
        </w:rPr>
        <w:t>תניות</w:t>
      </w:r>
      <w:proofErr w:type="spellEnd"/>
      <w:r>
        <w:rPr>
          <w:rFonts w:ascii="David" w:hAnsi="David" w:cs="David" w:hint="cs"/>
          <w:sz w:val="24"/>
          <w:szCs w:val="24"/>
          <w:rtl/>
        </w:rPr>
        <w:t xml:space="preserve"> והצהרות חוזיות בדבר הימנעות מניגודי עניינים פוטנציאליים מעוגנים בהסכם ההתקשרות עם הספק החיצוני </w:t>
      </w:r>
      <w:r w:rsidRPr="00694115">
        <w:rPr>
          <w:rFonts w:ascii="David" w:hAnsi="David" w:cs="David" w:hint="cs"/>
          <w:sz w:val="24"/>
          <w:szCs w:val="24"/>
          <w:rtl/>
        </w:rPr>
        <w:t xml:space="preserve"> </w:t>
      </w:r>
      <w:r w:rsidRPr="00694115">
        <w:rPr>
          <w:rFonts w:ascii="David" w:hAnsi="David" w:cs="David"/>
          <w:b/>
          <w:bCs/>
          <w:sz w:val="24"/>
          <w:szCs w:val="24"/>
          <w:u w:val="single"/>
          <w:rtl/>
        </w:rPr>
        <w:t>תחולה ובחינה חוזרת</w:t>
      </w:r>
    </w:p>
    <w:p w:rsidR="002D5A07" w:rsidRPr="00D66B96" w:rsidRDefault="002D5A07" w:rsidP="002D5A07">
      <w:pPr>
        <w:pStyle w:val="a5"/>
        <w:numPr>
          <w:ilvl w:val="0"/>
          <w:numId w:val="8"/>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מדיניות זו תקפה להשקעות ישירות חדשות המבוצעות על ידי החברה ואינה מתייחסת להשקעות במוצרי מדדים</w:t>
      </w:r>
      <w:r>
        <w:rPr>
          <w:rFonts w:ascii="David" w:hAnsi="David" w:cs="David" w:hint="cs"/>
          <w:sz w:val="24"/>
          <w:szCs w:val="24"/>
          <w:rtl/>
        </w:rPr>
        <w:t xml:space="preserve"> </w:t>
      </w:r>
      <w:proofErr w:type="spellStart"/>
      <w:r>
        <w:rPr>
          <w:rFonts w:ascii="David" w:hAnsi="David" w:cs="David" w:hint="cs"/>
          <w:sz w:val="24"/>
          <w:szCs w:val="24"/>
          <w:rtl/>
        </w:rPr>
        <w:t>ןמנהלי</w:t>
      </w:r>
      <w:proofErr w:type="spellEnd"/>
      <w:r>
        <w:rPr>
          <w:rFonts w:ascii="David" w:hAnsi="David" w:cs="David" w:hint="cs"/>
          <w:sz w:val="24"/>
          <w:szCs w:val="24"/>
          <w:rtl/>
        </w:rPr>
        <w:t xml:space="preserve"> תיקים חיצוניים</w:t>
      </w:r>
      <w:r w:rsidRPr="00344181">
        <w:rPr>
          <w:rFonts w:ascii="David" w:hAnsi="David" w:cs="David"/>
          <w:sz w:val="24"/>
          <w:szCs w:val="24"/>
          <w:rtl/>
        </w:rPr>
        <w:t xml:space="preserve">. </w:t>
      </w:r>
    </w:p>
    <w:p w:rsidR="002D5A07" w:rsidRPr="00D66B96" w:rsidRDefault="002D5A07" w:rsidP="002D5A07">
      <w:pPr>
        <w:pStyle w:val="a5"/>
        <w:numPr>
          <w:ilvl w:val="0"/>
          <w:numId w:val="8"/>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החברה </w:t>
      </w:r>
      <w:r>
        <w:rPr>
          <w:rFonts w:ascii="David" w:hAnsi="David" w:cs="David" w:hint="cs"/>
          <w:sz w:val="24"/>
          <w:szCs w:val="24"/>
          <w:rtl/>
        </w:rPr>
        <w:t>תבחן</w:t>
      </w:r>
      <w:r w:rsidRPr="00344181">
        <w:rPr>
          <w:rFonts w:ascii="David" w:hAnsi="David" w:cs="David"/>
          <w:sz w:val="24"/>
          <w:szCs w:val="24"/>
          <w:rtl/>
        </w:rPr>
        <w:t xml:space="preserve"> את מדיניותה בקשר עם אופן היישום של שיקולי </w:t>
      </w:r>
      <w:r w:rsidRPr="00344181">
        <w:rPr>
          <w:rFonts w:ascii="David" w:hAnsi="David" w:cs="David"/>
          <w:sz w:val="24"/>
          <w:szCs w:val="24"/>
        </w:rPr>
        <w:t>ESG</w:t>
      </w:r>
      <w:r w:rsidRPr="00344181">
        <w:rPr>
          <w:rFonts w:ascii="David" w:hAnsi="David" w:cs="David"/>
          <w:sz w:val="24"/>
          <w:szCs w:val="24"/>
          <w:rtl/>
        </w:rPr>
        <w:t xml:space="preserve"> מדי שנה, במסגרת הדיון על גיבוש מדיניות ההשקעות השנתית של החברה.  </w:t>
      </w:r>
    </w:p>
    <w:p w:rsidR="002D5A07" w:rsidRPr="00344181" w:rsidRDefault="002D5A07" w:rsidP="002D5A07">
      <w:pPr>
        <w:pStyle w:val="a5"/>
        <w:numPr>
          <w:ilvl w:val="0"/>
          <w:numId w:val="8"/>
        </w:numPr>
        <w:spacing w:line="360" w:lineRule="auto"/>
        <w:ind w:left="714" w:hanging="357"/>
        <w:contextualSpacing w:val="0"/>
        <w:jc w:val="both"/>
        <w:rPr>
          <w:rFonts w:ascii="David" w:hAnsi="David" w:cs="David"/>
          <w:sz w:val="24"/>
          <w:szCs w:val="24"/>
          <w:rtl/>
        </w:rPr>
      </w:pPr>
      <w:r w:rsidRPr="00344181">
        <w:rPr>
          <w:rFonts w:ascii="David" w:hAnsi="David" w:cs="David"/>
          <w:sz w:val="24"/>
          <w:szCs w:val="24"/>
          <w:rtl/>
        </w:rPr>
        <w:t xml:space="preserve">עיקרי השיקולים כאמור, יפורסמו במסגרת הצהרת המדיניות השנתית </w:t>
      </w:r>
      <w:r>
        <w:rPr>
          <w:rFonts w:ascii="David" w:hAnsi="David" w:cs="David" w:hint="cs"/>
          <w:sz w:val="24"/>
          <w:szCs w:val="24"/>
          <w:rtl/>
        </w:rPr>
        <w:t>החברה</w:t>
      </w:r>
      <w:r w:rsidRPr="00344181">
        <w:rPr>
          <w:rFonts w:ascii="David" w:hAnsi="David" w:cs="David"/>
          <w:sz w:val="24"/>
          <w:szCs w:val="24"/>
          <w:rtl/>
        </w:rPr>
        <w:t xml:space="preserve"> באתר האינטרנט ובדיוור הישיר לציבור העמיתים. </w:t>
      </w:r>
    </w:p>
    <w:p w:rsidR="002D5A07" w:rsidRPr="00344181" w:rsidRDefault="002D5A07" w:rsidP="002D5A07">
      <w:pPr>
        <w:rPr>
          <w:rFonts w:ascii="David" w:hAnsi="David" w:cs="David"/>
          <w:sz w:val="24"/>
          <w:szCs w:val="24"/>
          <w:rtl/>
        </w:rPr>
      </w:pPr>
    </w:p>
    <w:p w:rsidR="002D5A07" w:rsidRPr="00344181" w:rsidRDefault="002D5A07" w:rsidP="002D5A07">
      <w:pPr>
        <w:rPr>
          <w:rFonts w:ascii="David" w:hAnsi="David" w:cs="David"/>
          <w:sz w:val="24"/>
          <w:szCs w:val="24"/>
          <w:rtl/>
        </w:rPr>
      </w:pPr>
    </w:p>
    <w:p w:rsidR="002D5A07" w:rsidRPr="00344181" w:rsidRDefault="002D5A07" w:rsidP="002D5A07">
      <w:pPr>
        <w:jc w:val="center"/>
        <w:rPr>
          <w:rFonts w:ascii="David" w:hAnsi="David" w:cs="David"/>
          <w:sz w:val="24"/>
          <w:szCs w:val="24"/>
        </w:rPr>
      </w:pPr>
      <w:r w:rsidRPr="00344181">
        <w:rPr>
          <w:rFonts w:ascii="David" w:hAnsi="David" w:cs="David"/>
          <w:sz w:val="24"/>
          <w:szCs w:val="24"/>
          <w:rtl/>
        </w:rPr>
        <w:t>*****</w:t>
      </w:r>
    </w:p>
    <w:p w:rsidR="00E43C08" w:rsidRPr="00E923F6" w:rsidRDefault="00E43C08" w:rsidP="00E923F6">
      <w:pPr>
        <w:rPr>
          <w:rtl/>
        </w:rPr>
      </w:pPr>
    </w:p>
    <w:sectPr w:rsidR="00E43C08" w:rsidRPr="00E923F6" w:rsidSect="00CE290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A63" w:rsidRDefault="00BB1A63">
      <w:r>
        <w:separator/>
      </w:r>
    </w:p>
  </w:endnote>
  <w:endnote w:type="continuationSeparator" w:id="0">
    <w:p w:rsidR="00BB1A63" w:rsidRDefault="00BB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15A" w:rsidRDefault="0083315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15A" w:rsidRDefault="0083315A" w:rsidP="0083315A">
    <w:pPr>
      <w:pStyle w:val="a4"/>
      <w:rPr>
        <w:rFonts w:ascii="Courier New" w:hAnsi="Courier New" w:cs="Courier New"/>
        <w:color w:val="0000FF"/>
        <w:rtl/>
      </w:rPr>
    </w:pPr>
    <w:r>
      <w:rPr>
        <w:rFonts w:ascii="Courier New" w:hAnsi="Courier New" w:cs="Courier New" w:hint="cs"/>
        <w:color w:val="0000FF"/>
        <w:rtl/>
      </w:rPr>
      <w:t>קיבוץ בארות יצחק מיקוד 6090500</w:t>
    </w:r>
    <w:r w:rsidR="00CE290C" w:rsidRPr="009D4CCD">
      <w:rPr>
        <w:rFonts w:ascii="Courier New" w:hAnsi="Courier New" w:cs="Courier New"/>
        <w:color w:val="0000FF"/>
        <w:rtl/>
      </w:rPr>
      <w:t xml:space="preserve"> –</w:t>
    </w:r>
    <w:r w:rsidR="00CE290C">
      <w:rPr>
        <w:rFonts w:ascii="Courier New" w:hAnsi="Courier New" w:cs="Courier New"/>
        <w:color w:val="0000FF"/>
        <w:rtl/>
      </w:rPr>
      <w:t>טל: 03-6072777</w:t>
    </w:r>
    <w:r w:rsidR="00CE290C" w:rsidRPr="009D4CCD">
      <w:rPr>
        <w:rFonts w:ascii="Courier New" w:hAnsi="Courier New" w:cs="Courier New"/>
        <w:color w:val="0000FF"/>
        <w:rtl/>
      </w:rPr>
      <w:t xml:space="preserve"> </w:t>
    </w:r>
  </w:p>
  <w:p w:rsidR="00CE290C" w:rsidRPr="006C7798" w:rsidRDefault="00CE290C" w:rsidP="0083315A">
    <w:pPr>
      <w:pStyle w:val="a4"/>
      <w:rPr>
        <w:rFonts w:ascii="Courier New" w:hAnsi="Courier New" w:cs="Courier New"/>
        <w:color w:val="0000FF"/>
      </w:rPr>
    </w:pPr>
    <w:r w:rsidRPr="009D4CCD">
      <w:rPr>
        <w:rFonts w:ascii="Courier New" w:hAnsi="Courier New" w:cs="Courier New"/>
        <w:color w:val="0000FF"/>
        <w:rtl/>
      </w:rPr>
      <w:t>פקס: 03-6957039</w:t>
    </w:r>
    <w:r>
      <w:rPr>
        <w:rFonts w:ascii="Courier New" w:hAnsi="Courier New" w:cs="Courier New"/>
        <w:color w:val="0000FF"/>
        <w:rtl/>
      </w:rPr>
      <w:t xml:space="preserve"> – </w:t>
    </w:r>
    <w:r>
      <w:rPr>
        <w:rFonts w:ascii="Courier New" w:hAnsi="Courier New" w:cs="Courier New"/>
        <w:color w:val="0000FF"/>
      </w:rPr>
      <w:t xml:space="preserve">e-mail: </w:t>
    </w:r>
    <w:r w:rsidR="0083315A">
      <w:rPr>
        <w:rFonts w:ascii="Courier New" w:hAnsi="Courier New" w:cs="Courier New"/>
        <w:color w:val="0000FF"/>
      </w:rPr>
      <w:t>gizbar</w:t>
    </w:r>
    <w:r>
      <w:rPr>
        <w:rFonts w:ascii="Courier New" w:hAnsi="Courier New" w:cs="Courier New"/>
        <w:color w:val="0000FF"/>
      </w:rPr>
      <w:t>@kdati.org.il</w:t>
    </w:r>
  </w:p>
  <w:p w:rsidR="00CE290C" w:rsidRPr="00CE290C" w:rsidRDefault="00CE290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15A" w:rsidRDefault="008331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A63" w:rsidRDefault="00BB1A63">
      <w:r>
        <w:separator/>
      </w:r>
    </w:p>
  </w:footnote>
  <w:footnote w:type="continuationSeparator" w:id="0">
    <w:p w:rsidR="00BB1A63" w:rsidRDefault="00BB1A63">
      <w:r>
        <w:continuationSeparator/>
      </w:r>
    </w:p>
  </w:footnote>
  <w:footnote w:id="1">
    <w:p w:rsidR="002D5A07" w:rsidRDefault="002D5A07" w:rsidP="002D5A07">
      <w:pPr>
        <w:pStyle w:val="ad"/>
        <w:jc w:val="both"/>
      </w:pPr>
      <w:r w:rsidRPr="00DA16A4">
        <w:rPr>
          <w:rStyle w:val="af"/>
          <w:rFonts w:ascii="David" w:hAnsi="David" w:cs="David"/>
        </w:rPr>
        <w:footnoteRef/>
      </w:r>
      <w:r w:rsidRPr="00DA16A4">
        <w:rPr>
          <w:rFonts w:ascii="David" w:hAnsi="David" w:cs="David"/>
          <w:rtl/>
        </w:rPr>
        <w:t xml:space="preserve"> </w:t>
      </w:r>
      <w:r w:rsidRPr="00DA16A4">
        <w:rPr>
          <w:rFonts w:ascii="David" w:hAnsi="David" w:cs="David" w:hint="eastAsia"/>
          <w:sz w:val="18"/>
          <w:szCs w:val="18"/>
          <w:rtl/>
        </w:rPr>
        <w:t>י</w:t>
      </w:r>
      <w:r>
        <w:rPr>
          <w:rFonts w:ascii="David" w:hAnsi="David" w:cs="David" w:hint="cs"/>
          <w:sz w:val="18"/>
          <w:szCs w:val="18"/>
          <w:rtl/>
        </w:rPr>
        <w:t>ובהר כי ההתייחסות ל</w:t>
      </w:r>
      <w:r w:rsidRPr="00DA16A4">
        <w:rPr>
          <w:rFonts w:ascii="David" w:hAnsi="David" w:cs="David" w:hint="eastAsia"/>
          <w:sz w:val="18"/>
          <w:szCs w:val="18"/>
          <w:rtl/>
        </w:rPr>
        <w:t>סיכוני</w:t>
      </w:r>
      <w:r w:rsidRPr="00DA16A4">
        <w:rPr>
          <w:rFonts w:ascii="David" w:hAnsi="David" w:cs="David"/>
          <w:sz w:val="18"/>
          <w:szCs w:val="18"/>
          <w:rtl/>
        </w:rPr>
        <w:t xml:space="preserve"> </w:t>
      </w:r>
      <w:r w:rsidRPr="00DA16A4">
        <w:rPr>
          <w:rFonts w:ascii="David" w:hAnsi="David" w:cs="David" w:hint="eastAsia"/>
          <w:sz w:val="18"/>
          <w:szCs w:val="18"/>
          <w:rtl/>
        </w:rPr>
        <w:t>טכנולוגיה</w:t>
      </w:r>
      <w:r w:rsidRPr="00DA16A4">
        <w:rPr>
          <w:rFonts w:ascii="David" w:hAnsi="David" w:cs="David"/>
          <w:sz w:val="18"/>
          <w:szCs w:val="18"/>
          <w:rtl/>
        </w:rPr>
        <w:t xml:space="preserve"> </w:t>
      </w:r>
      <w:r w:rsidRPr="00DA16A4">
        <w:rPr>
          <w:rFonts w:ascii="David" w:hAnsi="David" w:cs="David" w:hint="eastAsia"/>
          <w:sz w:val="18"/>
          <w:szCs w:val="18"/>
          <w:rtl/>
        </w:rPr>
        <w:t>וסייבר</w:t>
      </w:r>
      <w:r w:rsidRPr="00DA16A4">
        <w:rPr>
          <w:rFonts w:ascii="David" w:hAnsi="David" w:cs="David"/>
          <w:sz w:val="18"/>
          <w:szCs w:val="18"/>
          <w:rtl/>
        </w:rPr>
        <w:t xml:space="preserve"> </w:t>
      </w:r>
      <w:r>
        <w:rPr>
          <w:rFonts w:ascii="David" w:hAnsi="David" w:cs="David" w:hint="cs"/>
          <w:sz w:val="18"/>
          <w:szCs w:val="18"/>
          <w:rtl/>
        </w:rPr>
        <w:t xml:space="preserve">יבואו לידי ביטוי </w:t>
      </w:r>
      <w:r w:rsidRPr="00DA16A4">
        <w:rPr>
          <w:rFonts w:ascii="David" w:hAnsi="David" w:cs="David" w:hint="eastAsia"/>
          <w:sz w:val="18"/>
          <w:szCs w:val="18"/>
          <w:rtl/>
        </w:rPr>
        <w:t>בסקירות</w:t>
      </w:r>
      <w:r w:rsidRPr="00DA16A4">
        <w:rPr>
          <w:rFonts w:ascii="David" w:hAnsi="David" w:cs="David"/>
          <w:sz w:val="18"/>
          <w:szCs w:val="18"/>
          <w:rtl/>
        </w:rPr>
        <w:t xml:space="preserve"> </w:t>
      </w:r>
      <w:r w:rsidRPr="00DA16A4">
        <w:rPr>
          <w:rFonts w:ascii="David" w:hAnsi="David" w:cs="David" w:hint="eastAsia"/>
          <w:sz w:val="18"/>
          <w:szCs w:val="18"/>
          <w:rtl/>
        </w:rPr>
        <w:t>האנליט</w:t>
      </w:r>
      <w:r>
        <w:rPr>
          <w:rFonts w:ascii="David" w:hAnsi="David" w:cs="David" w:hint="cs"/>
          <w:sz w:val="18"/>
          <w:szCs w:val="18"/>
          <w:rtl/>
        </w:rPr>
        <w:t>י</w:t>
      </w:r>
      <w:r w:rsidRPr="00DA16A4">
        <w:rPr>
          <w:rFonts w:ascii="David" w:hAnsi="David" w:cs="David" w:hint="eastAsia"/>
          <w:sz w:val="18"/>
          <w:szCs w:val="18"/>
          <w:rtl/>
        </w:rPr>
        <w:t>ות</w:t>
      </w:r>
      <w:r w:rsidRPr="00DA16A4">
        <w:rPr>
          <w:rFonts w:ascii="David" w:hAnsi="David" w:cs="David"/>
          <w:sz w:val="18"/>
          <w:szCs w:val="18"/>
          <w:rtl/>
        </w:rPr>
        <w:t xml:space="preserve"> </w:t>
      </w:r>
      <w:r w:rsidRPr="00DA16A4">
        <w:rPr>
          <w:rFonts w:ascii="David" w:hAnsi="David" w:cs="David" w:hint="eastAsia"/>
          <w:sz w:val="18"/>
          <w:szCs w:val="18"/>
          <w:rtl/>
        </w:rPr>
        <w:t>אותן</w:t>
      </w:r>
      <w:r w:rsidRPr="00DA16A4">
        <w:rPr>
          <w:rFonts w:ascii="David" w:hAnsi="David" w:cs="David"/>
          <w:sz w:val="18"/>
          <w:szCs w:val="18"/>
          <w:rtl/>
        </w:rPr>
        <w:t xml:space="preserve"> </w:t>
      </w:r>
      <w:r w:rsidRPr="00DA16A4">
        <w:rPr>
          <w:rFonts w:ascii="David" w:hAnsi="David" w:cs="David" w:hint="eastAsia"/>
          <w:sz w:val="18"/>
          <w:szCs w:val="18"/>
          <w:rtl/>
        </w:rPr>
        <w:t>מקבל</w:t>
      </w:r>
      <w:r w:rsidRPr="00DA16A4">
        <w:rPr>
          <w:rFonts w:ascii="David" w:hAnsi="David" w:cs="David"/>
          <w:sz w:val="18"/>
          <w:szCs w:val="18"/>
          <w:rtl/>
        </w:rPr>
        <w:t xml:space="preserve"> </w:t>
      </w:r>
      <w:r w:rsidRPr="00DA16A4">
        <w:rPr>
          <w:rFonts w:ascii="David" w:hAnsi="David" w:cs="David" w:hint="eastAsia"/>
          <w:sz w:val="18"/>
          <w:szCs w:val="18"/>
          <w:rtl/>
        </w:rPr>
        <w:t>החברה</w:t>
      </w:r>
      <w:r w:rsidRPr="00DA16A4">
        <w:rPr>
          <w:rFonts w:ascii="David" w:hAnsi="David" w:cs="David"/>
          <w:sz w:val="18"/>
          <w:szCs w:val="18"/>
          <w:rtl/>
        </w:rPr>
        <w:t xml:space="preserve"> </w:t>
      </w:r>
      <w:r w:rsidRPr="00DA16A4">
        <w:rPr>
          <w:rFonts w:ascii="David" w:hAnsi="David" w:cs="David" w:hint="eastAsia"/>
          <w:sz w:val="18"/>
          <w:szCs w:val="18"/>
          <w:rtl/>
        </w:rPr>
        <w:t>מהספק</w:t>
      </w:r>
      <w:r w:rsidRPr="00DA16A4">
        <w:rPr>
          <w:rFonts w:ascii="David" w:hAnsi="David" w:cs="David"/>
          <w:sz w:val="18"/>
          <w:szCs w:val="18"/>
          <w:rtl/>
        </w:rPr>
        <w:t xml:space="preserve"> </w:t>
      </w:r>
      <w:r w:rsidRPr="00DA16A4">
        <w:rPr>
          <w:rFonts w:ascii="David" w:hAnsi="David" w:cs="David" w:hint="eastAsia"/>
          <w:sz w:val="18"/>
          <w:szCs w:val="18"/>
          <w:rtl/>
        </w:rPr>
        <w:t>החיצוני</w:t>
      </w:r>
      <w:r w:rsidRPr="00DA16A4">
        <w:rPr>
          <w:rFonts w:ascii="David" w:hAnsi="David" w:cs="David"/>
          <w:sz w:val="18"/>
          <w:szCs w:val="18"/>
          <w:rtl/>
        </w:rPr>
        <w:t xml:space="preserve"> </w:t>
      </w:r>
      <w:r w:rsidRPr="00DA16A4">
        <w:rPr>
          <w:rFonts w:ascii="David" w:hAnsi="David" w:cs="David" w:hint="eastAsia"/>
          <w:sz w:val="18"/>
          <w:szCs w:val="18"/>
          <w:rtl/>
        </w:rPr>
        <w:t>והם</w:t>
      </w:r>
      <w:r w:rsidRPr="00DA16A4">
        <w:rPr>
          <w:rFonts w:ascii="David" w:hAnsi="David" w:cs="David"/>
          <w:sz w:val="18"/>
          <w:szCs w:val="18"/>
          <w:rtl/>
        </w:rPr>
        <w:t xml:space="preserve"> </w:t>
      </w:r>
      <w:r w:rsidRPr="00DA16A4">
        <w:rPr>
          <w:rFonts w:ascii="David" w:hAnsi="David" w:cs="David" w:hint="eastAsia"/>
          <w:sz w:val="18"/>
          <w:szCs w:val="18"/>
          <w:rtl/>
        </w:rPr>
        <w:t>נלקחים</w:t>
      </w:r>
      <w:r w:rsidRPr="00DA16A4">
        <w:rPr>
          <w:rFonts w:ascii="David" w:hAnsi="David" w:cs="David"/>
          <w:sz w:val="18"/>
          <w:szCs w:val="18"/>
          <w:rtl/>
        </w:rPr>
        <w:t xml:space="preserve"> </w:t>
      </w:r>
      <w:r w:rsidRPr="00DA16A4">
        <w:rPr>
          <w:rFonts w:ascii="David" w:hAnsi="David" w:cs="David" w:hint="eastAsia"/>
          <w:sz w:val="18"/>
          <w:szCs w:val="18"/>
          <w:rtl/>
        </w:rPr>
        <w:t>בחשבון</w:t>
      </w:r>
      <w:r w:rsidRPr="00DA16A4">
        <w:rPr>
          <w:rFonts w:ascii="David" w:hAnsi="David" w:cs="David"/>
          <w:sz w:val="18"/>
          <w:szCs w:val="18"/>
          <w:rtl/>
        </w:rPr>
        <w:t xml:space="preserve"> </w:t>
      </w:r>
      <w:r w:rsidRPr="00DA16A4">
        <w:rPr>
          <w:rFonts w:ascii="David" w:hAnsi="David" w:cs="David" w:hint="eastAsia"/>
          <w:sz w:val="18"/>
          <w:szCs w:val="18"/>
          <w:rtl/>
        </w:rPr>
        <w:t>הציון</w:t>
      </w:r>
      <w:r w:rsidRPr="00DA16A4">
        <w:rPr>
          <w:rFonts w:ascii="David" w:hAnsi="David" w:cs="David"/>
          <w:sz w:val="18"/>
          <w:szCs w:val="18"/>
          <w:rtl/>
        </w:rPr>
        <w:t xml:space="preserve"> </w:t>
      </w:r>
      <w:r w:rsidRPr="00DA16A4">
        <w:rPr>
          <w:rFonts w:ascii="David" w:hAnsi="David" w:cs="David" w:hint="eastAsia"/>
          <w:sz w:val="18"/>
          <w:szCs w:val="18"/>
          <w:rtl/>
        </w:rPr>
        <w:t>הכולל</w:t>
      </w:r>
      <w:r w:rsidRPr="00DA16A4">
        <w:rPr>
          <w:rFonts w:ascii="David" w:hAnsi="David" w:cs="David"/>
          <w:sz w:val="18"/>
          <w:szCs w:val="18"/>
          <w:rtl/>
        </w:rPr>
        <w:t xml:space="preserve"> </w:t>
      </w:r>
      <w:r w:rsidRPr="00DA16A4">
        <w:rPr>
          <w:rFonts w:ascii="David" w:hAnsi="David" w:cs="David" w:hint="eastAsia"/>
          <w:sz w:val="18"/>
          <w:szCs w:val="18"/>
          <w:rtl/>
        </w:rPr>
        <w:t>של</w:t>
      </w:r>
      <w:r w:rsidRPr="00DA16A4">
        <w:rPr>
          <w:rFonts w:ascii="David" w:hAnsi="David" w:cs="David"/>
          <w:sz w:val="18"/>
          <w:szCs w:val="18"/>
          <w:rtl/>
        </w:rPr>
        <w:t xml:space="preserve"> </w:t>
      </w:r>
      <w:r w:rsidRPr="00DA16A4">
        <w:rPr>
          <w:rFonts w:ascii="David" w:hAnsi="David" w:cs="David" w:hint="eastAsia"/>
          <w:sz w:val="18"/>
          <w:szCs w:val="18"/>
          <w:rtl/>
        </w:rPr>
        <w:t>התאגיד</w:t>
      </w:r>
      <w:r w:rsidRPr="00DA16A4">
        <w:rPr>
          <w:rFonts w:ascii="David" w:hAnsi="David" w:cs="David"/>
          <w:sz w:val="18"/>
          <w:szCs w:val="18"/>
          <w:rtl/>
        </w:rPr>
        <w:t xml:space="preserve"> </w:t>
      </w:r>
      <w:r w:rsidRPr="00DA16A4">
        <w:rPr>
          <w:rFonts w:ascii="David" w:hAnsi="David" w:cs="David" w:hint="eastAsia"/>
          <w:sz w:val="18"/>
          <w:szCs w:val="18"/>
          <w:rtl/>
        </w:rPr>
        <w:t>נשוא</w:t>
      </w:r>
      <w:r w:rsidRPr="00DA16A4">
        <w:rPr>
          <w:rFonts w:ascii="David" w:hAnsi="David" w:cs="David"/>
          <w:sz w:val="18"/>
          <w:szCs w:val="18"/>
          <w:rtl/>
        </w:rPr>
        <w:t xml:space="preserve"> </w:t>
      </w:r>
      <w:r w:rsidRPr="00DA16A4">
        <w:rPr>
          <w:rFonts w:ascii="David" w:hAnsi="David" w:cs="David" w:hint="eastAsia"/>
          <w:sz w:val="18"/>
          <w:szCs w:val="18"/>
          <w:rtl/>
        </w:rPr>
        <w:t>ההשקעה</w:t>
      </w:r>
      <w:r w:rsidRPr="00DA16A4">
        <w:rPr>
          <w:rFonts w:ascii="David" w:hAnsi="David" w:cs="David"/>
          <w:sz w:val="18"/>
          <w:szCs w:val="18"/>
          <w:rtl/>
        </w:rPr>
        <w:t>.</w:t>
      </w:r>
      <w:r>
        <w:rPr>
          <w:rFonts w:hint="cs"/>
          <w:rtl/>
        </w:rPr>
        <w:t xml:space="preserve">  </w:t>
      </w:r>
    </w:p>
  </w:footnote>
  <w:footnote w:id="2">
    <w:p w:rsidR="002D5A07" w:rsidRPr="00DA16A4" w:rsidRDefault="002D5A07" w:rsidP="002D5A07">
      <w:pPr>
        <w:spacing w:line="276" w:lineRule="auto"/>
        <w:ind w:left="116" w:hanging="180"/>
        <w:jc w:val="both"/>
        <w:rPr>
          <w:rFonts w:ascii="David" w:hAnsi="David" w:cs="David"/>
          <w:sz w:val="18"/>
          <w:szCs w:val="18"/>
          <w:rtl/>
        </w:rPr>
      </w:pPr>
      <w:r w:rsidRPr="001F693F">
        <w:rPr>
          <w:rFonts w:ascii="David" w:hAnsi="David" w:cs="David"/>
          <w:sz w:val="20"/>
          <w:szCs w:val="20"/>
        </w:rPr>
        <w:footnoteRef/>
      </w:r>
      <w:r w:rsidRPr="00344181">
        <w:rPr>
          <w:rFonts w:ascii="David" w:hAnsi="David" w:cs="David"/>
          <w:sz w:val="24"/>
          <w:szCs w:val="24"/>
          <w:rtl/>
        </w:rPr>
        <w:t xml:space="preserve"> </w:t>
      </w:r>
      <w:r>
        <w:rPr>
          <w:rFonts w:ascii="David" w:hAnsi="David" w:cs="David" w:hint="cs"/>
          <w:sz w:val="20"/>
          <w:szCs w:val="20"/>
          <w:rtl/>
        </w:rPr>
        <w:t xml:space="preserve"> </w:t>
      </w:r>
      <w:r w:rsidRPr="00DA16A4">
        <w:rPr>
          <w:rFonts w:ascii="David" w:hAnsi="David" w:cs="David" w:hint="eastAsia"/>
          <w:sz w:val="18"/>
          <w:szCs w:val="18"/>
          <w:rtl/>
        </w:rPr>
        <w:t>תחומי</w:t>
      </w:r>
      <w:r w:rsidRPr="00DA16A4">
        <w:rPr>
          <w:rFonts w:ascii="David" w:hAnsi="David" w:cs="David"/>
          <w:sz w:val="18"/>
          <w:szCs w:val="18"/>
          <w:rtl/>
        </w:rPr>
        <w:t xml:space="preserve"> </w:t>
      </w:r>
      <w:r w:rsidRPr="00DA16A4">
        <w:rPr>
          <w:rFonts w:ascii="David" w:hAnsi="David" w:cs="David" w:hint="eastAsia"/>
          <w:sz w:val="18"/>
          <w:szCs w:val="18"/>
          <w:rtl/>
        </w:rPr>
        <w:t>האנרגיה</w:t>
      </w:r>
      <w:r w:rsidRPr="00DA16A4">
        <w:rPr>
          <w:rFonts w:ascii="David" w:hAnsi="David" w:cs="David"/>
          <w:sz w:val="18"/>
          <w:szCs w:val="18"/>
          <w:rtl/>
        </w:rPr>
        <w:t xml:space="preserve"> </w:t>
      </w:r>
      <w:r w:rsidRPr="00DA16A4">
        <w:rPr>
          <w:rFonts w:ascii="David" w:hAnsi="David" w:cs="David" w:hint="eastAsia"/>
          <w:sz w:val="18"/>
          <w:szCs w:val="18"/>
          <w:rtl/>
        </w:rPr>
        <w:t>והתשתיות</w:t>
      </w:r>
      <w:r w:rsidRPr="00DA16A4">
        <w:rPr>
          <w:rFonts w:ascii="David" w:hAnsi="David" w:cs="David"/>
          <w:sz w:val="18"/>
          <w:szCs w:val="18"/>
          <w:rtl/>
        </w:rPr>
        <w:t xml:space="preserve"> </w:t>
      </w:r>
      <w:proofErr w:type="spellStart"/>
      <w:r w:rsidRPr="00DA16A4">
        <w:rPr>
          <w:rFonts w:ascii="David" w:hAnsi="David" w:cs="David"/>
          <w:sz w:val="18"/>
          <w:szCs w:val="18"/>
          <w:rtl/>
        </w:rPr>
        <w:t>הפוסילים</w:t>
      </w:r>
      <w:proofErr w:type="spellEnd"/>
      <w:r w:rsidRPr="00DA16A4">
        <w:rPr>
          <w:rFonts w:ascii="David" w:hAnsi="David" w:cs="David"/>
          <w:sz w:val="18"/>
          <w:szCs w:val="18"/>
          <w:rtl/>
        </w:rPr>
        <w:t xml:space="preserve">  שרוב עיסוקם כולל חיפוש הפקה וייצור </w:t>
      </w:r>
      <w:proofErr w:type="spellStart"/>
      <w:r w:rsidRPr="00DA16A4">
        <w:rPr>
          <w:rFonts w:ascii="David" w:hAnsi="David" w:cs="David"/>
          <w:sz w:val="18"/>
          <w:szCs w:val="18"/>
          <w:rtl/>
        </w:rPr>
        <w:t>דלקים</w:t>
      </w:r>
      <w:proofErr w:type="spellEnd"/>
      <w:r w:rsidRPr="00DA16A4">
        <w:rPr>
          <w:rFonts w:ascii="David" w:hAnsi="David" w:cs="David"/>
          <w:sz w:val="18"/>
          <w:szCs w:val="18"/>
          <w:rtl/>
        </w:rPr>
        <w:t xml:space="preserve"> </w:t>
      </w:r>
      <w:proofErr w:type="spellStart"/>
      <w:r w:rsidRPr="00DA16A4">
        <w:rPr>
          <w:rFonts w:ascii="David" w:hAnsi="David" w:cs="David"/>
          <w:sz w:val="18"/>
          <w:szCs w:val="18"/>
          <w:rtl/>
        </w:rPr>
        <w:t>פוסיליים</w:t>
      </w:r>
      <w:proofErr w:type="spellEnd"/>
      <w:r w:rsidRPr="00DA16A4">
        <w:rPr>
          <w:rFonts w:ascii="David" w:hAnsi="David" w:cs="David"/>
          <w:sz w:val="18"/>
          <w:szCs w:val="18"/>
          <w:rtl/>
        </w:rPr>
        <w:t xml:space="preserve"> הינם כל אחד מאלה: א. תאגידים שלפחות 25% מהכנסותיהם על פי הדוחות הכספיים בארבעת החודשים שקדמו להשקעה מקורם בחיפוש, הפקה, ייצור ושינוע של </w:t>
      </w:r>
      <w:proofErr w:type="spellStart"/>
      <w:r w:rsidRPr="00DA16A4">
        <w:rPr>
          <w:rFonts w:ascii="David" w:hAnsi="David" w:cs="David"/>
          <w:sz w:val="18"/>
          <w:szCs w:val="18"/>
          <w:rtl/>
        </w:rPr>
        <w:t>דלקים</w:t>
      </w:r>
      <w:proofErr w:type="spellEnd"/>
      <w:r w:rsidRPr="00DA16A4">
        <w:rPr>
          <w:rFonts w:ascii="David" w:hAnsi="David" w:cs="David"/>
          <w:sz w:val="18"/>
          <w:szCs w:val="18"/>
          <w:rtl/>
        </w:rPr>
        <w:t xml:space="preserve"> </w:t>
      </w:r>
      <w:proofErr w:type="spellStart"/>
      <w:r w:rsidRPr="00DA16A4">
        <w:rPr>
          <w:rFonts w:ascii="David" w:hAnsi="David" w:cs="David"/>
          <w:sz w:val="18"/>
          <w:szCs w:val="18"/>
          <w:rtl/>
        </w:rPr>
        <w:t>פוסיליים</w:t>
      </w:r>
      <w:proofErr w:type="spellEnd"/>
      <w:r w:rsidRPr="00DA16A4">
        <w:rPr>
          <w:rFonts w:ascii="David" w:hAnsi="David" w:cs="David"/>
          <w:sz w:val="18"/>
          <w:szCs w:val="18"/>
          <w:rtl/>
        </w:rPr>
        <w:t xml:space="preserve">. ב. מכשירי השקעה (קרנות השקעה, קרנות נאמנות, קרנות סל, </w:t>
      </w:r>
      <w:r w:rsidRPr="00DA16A4">
        <w:rPr>
          <w:rFonts w:ascii="David" w:hAnsi="David" w:cs="David"/>
          <w:sz w:val="18"/>
          <w:szCs w:val="18"/>
        </w:rPr>
        <w:t>ETF</w:t>
      </w:r>
      <w:r w:rsidRPr="00DA16A4">
        <w:rPr>
          <w:rFonts w:ascii="David" w:hAnsi="David" w:cs="David"/>
          <w:sz w:val="18"/>
          <w:szCs w:val="18"/>
          <w:rtl/>
        </w:rPr>
        <w:t xml:space="preserve"> ו-</w:t>
      </w:r>
      <w:r w:rsidRPr="00DA16A4">
        <w:rPr>
          <w:rFonts w:ascii="David" w:hAnsi="David" w:cs="David"/>
          <w:sz w:val="18"/>
          <w:szCs w:val="18"/>
        </w:rPr>
        <w:t>ETN</w:t>
      </w:r>
      <w:r w:rsidRPr="00DA16A4">
        <w:rPr>
          <w:rFonts w:ascii="David" w:hAnsi="David" w:cs="David"/>
          <w:sz w:val="18"/>
          <w:szCs w:val="18"/>
          <w:rtl/>
        </w:rPr>
        <w:t xml:space="preserve">) </w:t>
      </w:r>
      <w:r w:rsidRPr="00DA16A4">
        <w:rPr>
          <w:rFonts w:ascii="David" w:hAnsi="David" w:cs="David" w:hint="eastAsia"/>
          <w:sz w:val="18"/>
          <w:szCs w:val="18"/>
          <w:rtl/>
        </w:rPr>
        <w:t>שמדיניות</w:t>
      </w:r>
      <w:r w:rsidRPr="00DA16A4">
        <w:rPr>
          <w:rFonts w:ascii="David" w:hAnsi="David" w:cs="David"/>
          <w:sz w:val="18"/>
          <w:szCs w:val="18"/>
          <w:rtl/>
        </w:rPr>
        <w:t xml:space="preserve"> </w:t>
      </w:r>
      <w:r w:rsidRPr="00DA16A4">
        <w:rPr>
          <w:rFonts w:ascii="David" w:hAnsi="David" w:cs="David" w:hint="eastAsia"/>
          <w:sz w:val="18"/>
          <w:szCs w:val="18"/>
          <w:rtl/>
        </w:rPr>
        <w:t>ההשקעות</w:t>
      </w:r>
      <w:r w:rsidRPr="00DA16A4">
        <w:rPr>
          <w:rFonts w:ascii="David" w:hAnsi="David" w:cs="David"/>
          <w:sz w:val="18"/>
          <w:szCs w:val="18"/>
          <w:rtl/>
        </w:rPr>
        <w:t xml:space="preserve"> </w:t>
      </w:r>
      <w:r w:rsidRPr="00DA16A4">
        <w:rPr>
          <w:rFonts w:ascii="David" w:hAnsi="David" w:cs="David" w:hint="eastAsia"/>
          <w:sz w:val="18"/>
          <w:szCs w:val="18"/>
          <w:rtl/>
        </w:rPr>
        <w:t>המוצהרת</w:t>
      </w:r>
      <w:r w:rsidRPr="00DA16A4">
        <w:rPr>
          <w:rFonts w:ascii="David" w:hAnsi="David" w:cs="David"/>
          <w:sz w:val="18"/>
          <w:szCs w:val="18"/>
          <w:rtl/>
        </w:rPr>
        <w:t xml:space="preserve"> </w:t>
      </w:r>
      <w:r w:rsidRPr="00DA16A4">
        <w:rPr>
          <w:rFonts w:ascii="David" w:hAnsi="David" w:cs="David" w:hint="eastAsia"/>
          <w:sz w:val="18"/>
          <w:szCs w:val="18"/>
          <w:rtl/>
        </w:rPr>
        <w:t>שלהם</w:t>
      </w:r>
      <w:r w:rsidRPr="00DA16A4">
        <w:rPr>
          <w:rFonts w:ascii="David" w:hAnsi="David" w:cs="David"/>
          <w:sz w:val="18"/>
          <w:szCs w:val="18"/>
          <w:rtl/>
        </w:rPr>
        <w:t xml:space="preserve"> </w:t>
      </w:r>
      <w:r w:rsidRPr="00DA16A4">
        <w:rPr>
          <w:rFonts w:ascii="David" w:hAnsi="David" w:cs="David" w:hint="eastAsia"/>
          <w:sz w:val="18"/>
          <w:szCs w:val="18"/>
          <w:rtl/>
        </w:rPr>
        <w:t>בעת</w:t>
      </w:r>
      <w:r w:rsidRPr="00DA16A4">
        <w:rPr>
          <w:rFonts w:ascii="David" w:hAnsi="David" w:cs="David"/>
          <w:sz w:val="18"/>
          <w:szCs w:val="18"/>
          <w:rtl/>
        </w:rPr>
        <w:t xml:space="preserve"> </w:t>
      </w:r>
      <w:r w:rsidRPr="00DA16A4">
        <w:rPr>
          <w:rFonts w:ascii="David" w:hAnsi="David" w:cs="David" w:hint="eastAsia"/>
          <w:sz w:val="18"/>
          <w:szCs w:val="18"/>
          <w:rtl/>
        </w:rPr>
        <w:t>ביצוע</w:t>
      </w:r>
      <w:r w:rsidRPr="00DA16A4">
        <w:rPr>
          <w:rFonts w:ascii="David" w:hAnsi="David" w:cs="David"/>
          <w:sz w:val="18"/>
          <w:szCs w:val="18"/>
          <w:rtl/>
        </w:rPr>
        <w:t xml:space="preserve"> </w:t>
      </w:r>
      <w:r w:rsidRPr="00DA16A4">
        <w:rPr>
          <w:rFonts w:ascii="David" w:hAnsi="David" w:cs="David" w:hint="eastAsia"/>
          <w:sz w:val="18"/>
          <w:szCs w:val="18"/>
          <w:rtl/>
        </w:rPr>
        <w:t>ההשקעה</w:t>
      </w:r>
      <w:r w:rsidRPr="00DA16A4">
        <w:rPr>
          <w:rFonts w:ascii="David" w:hAnsi="David" w:cs="David"/>
          <w:sz w:val="18"/>
          <w:szCs w:val="18"/>
          <w:rtl/>
        </w:rPr>
        <w:t xml:space="preserve"> </w:t>
      </w:r>
      <w:r w:rsidRPr="00DA16A4">
        <w:rPr>
          <w:rFonts w:ascii="David" w:hAnsi="David" w:cs="David" w:hint="eastAsia"/>
          <w:sz w:val="18"/>
          <w:szCs w:val="18"/>
          <w:rtl/>
        </w:rPr>
        <w:t>גורסת</w:t>
      </w:r>
      <w:r w:rsidRPr="00DA16A4">
        <w:rPr>
          <w:rFonts w:ascii="David" w:hAnsi="David" w:cs="David"/>
          <w:sz w:val="18"/>
          <w:szCs w:val="18"/>
          <w:rtl/>
        </w:rPr>
        <w:t xml:space="preserve"> </w:t>
      </w:r>
      <w:r w:rsidRPr="00DA16A4">
        <w:rPr>
          <w:rFonts w:ascii="David" w:hAnsi="David" w:cs="David" w:hint="eastAsia"/>
          <w:sz w:val="18"/>
          <w:szCs w:val="18"/>
          <w:rtl/>
        </w:rPr>
        <w:t>כי</w:t>
      </w:r>
      <w:r w:rsidRPr="00DA16A4">
        <w:rPr>
          <w:rFonts w:ascii="David" w:hAnsi="David" w:cs="David"/>
          <w:sz w:val="18"/>
          <w:szCs w:val="18"/>
          <w:rtl/>
        </w:rPr>
        <w:t xml:space="preserve"> </w:t>
      </w:r>
      <w:r w:rsidRPr="00DA16A4">
        <w:rPr>
          <w:rFonts w:ascii="David" w:hAnsi="David" w:cs="David" w:hint="eastAsia"/>
          <w:sz w:val="18"/>
          <w:szCs w:val="18"/>
          <w:rtl/>
        </w:rPr>
        <w:t>לפחות</w:t>
      </w:r>
      <w:r w:rsidRPr="00DA16A4">
        <w:rPr>
          <w:rFonts w:ascii="David" w:hAnsi="David" w:cs="David"/>
          <w:sz w:val="18"/>
          <w:szCs w:val="18"/>
          <w:rtl/>
        </w:rPr>
        <w:t xml:space="preserve"> 25% </w:t>
      </w:r>
      <w:r w:rsidRPr="00DA16A4">
        <w:rPr>
          <w:rFonts w:ascii="David" w:hAnsi="David" w:cs="David" w:hint="eastAsia"/>
          <w:sz w:val="18"/>
          <w:szCs w:val="18"/>
          <w:rtl/>
        </w:rPr>
        <w:t>מאחזקותיהם</w:t>
      </w:r>
      <w:r w:rsidRPr="00DA16A4">
        <w:rPr>
          <w:rFonts w:ascii="David" w:hAnsi="David" w:cs="David"/>
          <w:sz w:val="18"/>
          <w:szCs w:val="18"/>
          <w:rtl/>
        </w:rPr>
        <w:t xml:space="preserve"> </w:t>
      </w:r>
      <w:r w:rsidRPr="00DA16A4">
        <w:rPr>
          <w:rFonts w:ascii="David" w:hAnsi="David" w:cs="David" w:hint="eastAsia"/>
          <w:sz w:val="18"/>
          <w:szCs w:val="18"/>
          <w:rtl/>
        </w:rPr>
        <w:t>יהיו</w:t>
      </w:r>
      <w:r w:rsidRPr="00DA16A4">
        <w:rPr>
          <w:rFonts w:ascii="David" w:hAnsi="David" w:cs="David"/>
          <w:sz w:val="18"/>
          <w:szCs w:val="18"/>
          <w:rtl/>
        </w:rPr>
        <w:t xml:space="preserve"> </w:t>
      </w:r>
      <w:r w:rsidRPr="00DA16A4">
        <w:rPr>
          <w:rFonts w:ascii="David" w:hAnsi="David" w:cs="David" w:hint="eastAsia"/>
          <w:sz w:val="18"/>
          <w:szCs w:val="18"/>
          <w:rtl/>
        </w:rPr>
        <w:t>בתחום</w:t>
      </w:r>
      <w:r w:rsidRPr="00DA16A4">
        <w:rPr>
          <w:rFonts w:ascii="David" w:hAnsi="David" w:cs="David"/>
          <w:sz w:val="18"/>
          <w:szCs w:val="18"/>
          <w:rtl/>
        </w:rPr>
        <w:t xml:space="preserve"> </w:t>
      </w:r>
      <w:r w:rsidRPr="00DA16A4">
        <w:rPr>
          <w:rFonts w:ascii="David" w:hAnsi="David" w:cs="David" w:hint="eastAsia"/>
          <w:sz w:val="18"/>
          <w:szCs w:val="18"/>
          <w:rtl/>
        </w:rPr>
        <w:t>החיפוש</w:t>
      </w:r>
      <w:r w:rsidRPr="00DA16A4">
        <w:rPr>
          <w:rFonts w:ascii="David" w:hAnsi="David" w:cs="David"/>
          <w:sz w:val="18"/>
          <w:szCs w:val="18"/>
          <w:rtl/>
        </w:rPr>
        <w:t xml:space="preserve">, </w:t>
      </w:r>
      <w:r w:rsidRPr="00DA16A4">
        <w:rPr>
          <w:rFonts w:ascii="David" w:hAnsi="David" w:cs="David" w:hint="eastAsia"/>
          <w:sz w:val="18"/>
          <w:szCs w:val="18"/>
          <w:rtl/>
        </w:rPr>
        <w:t>ההפקה</w:t>
      </w:r>
      <w:r w:rsidRPr="00DA16A4">
        <w:rPr>
          <w:rFonts w:ascii="David" w:hAnsi="David" w:cs="David"/>
          <w:sz w:val="18"/>
          <w:szCs w:val="18"/>
          <w:rtl/>
        </w:rPr>
        <w:t xml:space="preserve">, </w:t>
      </w:r>
      <w:r w:rsidRPr="00DA16A4">
        <w:rPr>
          <w:rFonts w:ascii="David" w:hAnsi="David" w:cs="David" w:hint="eastAsia"/>
          <w:sz w:val="18"/>
          <w:szCs w:val="18"/>
          <w:rtl/>
        </w:rPr>
        <w:t>ייצור</w:t>
      </w:r>
      <w:r w:rsidRPr="00DA16A4">
        <w:rPr>
          <w:rFonts w:ascii="David" w:hAnsi="David" w:cs="David"/>
          <w:sz w:val="18"/>
          <w:szCs w:val="18"/>
          <w:rtl/>
        </w:rPr>
        <w:t xml:space="preserve"> </w:t>
      </w:r>
      <w:r w:rsidRPr="00DA16A4">
        <w:rPr>
          <w:rFonts w:ascii="David" w:hAnsi="David" w:cs="David" w:hint="eastAsia"/>
          <w:sz w:val="18"/>
          <w:szCs w:val="18"/>
          <w:rtl/>
        </w:rPr>
        <w:t>ושינוע</w:t>
      </w:r>
      <w:r w:rsidRPr="00DA16A4">
        <w:rPr>
          <w:rFonts w:ascii="David" w:hAnsi="David" w:cs="David"/>
          <w:sz w:val="18"/>
          <w:szCs w:val="18"/>
          <w:rtl/>
        </w:rPr>
        <w:t xml:space="preserve"> </w:t>
      </w:r>
      <w:r w:rsidRPr="00DA16A4">
        <w:rPr>
          <w:rFonts w:ascii="David" w:hAnsi="David" w:cs="David" w:hint="eastAsia"/>
          <w:sz w:val="18"/>
          <w:szCs w:val="18"/>
          <w:rtl/>
        </w:rPr>
        <w:t>של</w:t>
      </w:r>
      <w:r w:rsidRPr="00DA16A4">
        <w:rPr>
          <w:rFonts w:ascii="David" w:hAnsi="David" w:cs="David"/>
          <w:sz w:val="18"/>
          <w:szCs w:val="18"/>
          <w:rtl/>
        </w:rPr>
        <w:t xml:space="preserve"> </w:t>
      </w:r>
      <w:proofErr w:type="spellStart"/>
      <w:r w:rsidRPr="00DA16A4">
        <w:rPr>
          <w:rFonts w:ascii="David" w:hAnsi="David" w:cs="David" w:hint="eastAsia"/>
          <w:sz w:val="18"/>
          <w:szCs w:val="18"/>
          <w:rtl/>
        </w:rPr>
        <w:t>דלקים</w:t>
      </w:r>
      <w:proofErr w:type="spellEnd"/>
      <w:r w:rsidRPr="00DA16A4">
        <w:rPr>
          <w:rFonts w:ascii="David" w:hAnsi="David" w:cs="David"/>
          <w:sz w:val="18"/>
          <w:szCs w:val="18"/>
          <w:rtl/>
        </w:rPr>
        <w:t xml:space="preserve"> </w:t>
      </w:r>
      <w:proofErr w:type="spellStart"/>
      <w:r w:rsidRPr="00DA16A4">
        <w:rPr>
          <w:rFonts w:ascii="David" w:hAnsi="David" w:cs="David" w:hint="eastAsia"/>
          <w:sz w:val="18"/>
          <w:szCs w:val="18"/>
          <w:rtl/>
        </w:rPr>
        <w:t>פוסיליים</w:t>
      </w:r>
      <w:proofErr w:type="spellEnd"/>
      <w:r w:rsidRPr="00DA16A4">
        <w:rPr>
          <w:rFonts w:ascii="David" w:hAnsi="David" w:cs="David"/>
          <w:sz w:val="18"/>
          <w:szCs w:val="18"/>
          <w:rtl/>
        </w:rPr>
        <w:t xml:space="preserve">.  </w:t>
      </w:r>
    </w:p>
    <w:p w:rsidR="002D5A07" w:rsidRDefault="002D5A07" w:rsidP="002D5A07">
      <w:pPr>
        <w:pStyle w:val="ad"/>
      </w:pPr>
      <w:r>
        <w:rPr>
          <w:spacing w:val="-8"/>
          <w:sz w:val="27"/>
          <w:szCs w:val="27"/>
          <w:shd w:val="clear" w:color="auto" w:fill="FFFFFF"/>
          <w:rtl/>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15A" w:rsidRDefault="008331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90C" w:rsidRPr="00725D7B" w:rsidRDefault="00893681" w:rsidP="00CE290C">
    <w:pPr>
      <w:pStyle w:val="a3"/>
      <w:rPr>
        <w:rFonts w:ascii="Tahoma" w:hAnsi="Tahoma" w:cs="Tahoma"/>
        <w:color w:val="0000FF"/>
        <w:sz w:val="36"/>
        <w:szCs w:val="36"/>
        <w:rtl/>
      </w:rPr>
    </w:pPr>
    <w:r>
      <w:rPr>
        <w:noProof/>
        <w:sz w:val="36"/>
        <w:szCs w:val="36"/>
      </w:rPr>
      <w:drawing>
        <wp:anchor distT="0" distB="0" distL="114300" distR="114300" simplePos="0" relativeHeight="251657728" behindDoc="0" locked="0" layoutInCell="1" allowOverlap="1" wp14:anchorId="2986C84B" wp14:editId="32BEBA97">
          <wp:simplePos x="0" y="0"/>
          <wp:positionH relativeFrom="column">
            <wp:posOffset>-114300</wp:posOffset>
          </wp:positionH>
          <wp:positionV relativeFrom="paragraph">
            <wp:posOffset>-220980</wp:posOffset>
          </wp:positionV>
          <wp:extent cx="800100" cy="914400"/>
          <wp:effectExtent l="1905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00100" cy="914400"/>
                  </a:xfrm>
                  <a:prstGeom prst="rect">
                    <a:avLst/>
                  </a:prstGeom>
                  <a:noFill/>
                  <a:ln w="9525">
                    <a:noFill/>
                    <a:miter lim="800000"/>
                    <a:headEnd/>
                    <a:tailEnd/>
                  </a:ln>
                </pic:spPr>
              </pic:pic>
            </a:graphicData>
          </a:graphic>
        </wp:anchor>
      </w:drawing>
    </w:r>
    <w:r w:rsidR="00CE290C" w:rsidRPr="00725D7B">
      <w:rPr>
        <w:rFonts w:ascii="Tahoma" w:hAnsi="Tahoma" w:cs="Tahoma"/>
        <w:b/>
        <w:bCs/>
        <w:color w:val="0000FF"/>
        <w:sz w:val="36"/>
        <w:szCs w:val="36"/>
        <w:rtl/>
      </w:rPr>
      <w:t>שיבולת</w:t>
    </w:r>
    <w:r w:rsidR="00CE290C" w:rsidRPr="00725D7B">
      <w:rPr>
        <w:rFonts w:ascii="Tahoma" w:hAnsi="Tahoma" w:cs="Tahoma"/>
        <w:color w:val="0000FF"/>
        <w:sz w:val="36"/>
        <w:szCs w:val="36"/>
        <w:rtl/>
      </w:rPr>
      <w:t xml:space="preserve"> </w:t>
    </w:r>
    <w:r w:rsidR="00CE290C" w:rsidRPr="00725D7B">
      <w:rPr>
        <w:rFonts w:ascii="Tahoma" w:hAnsi="Tahoma" w:cs="Tahoma" w:hint="cs"/>
        <w:color w:val="0000FF"/>
        <w:sz w:val="36"/>
        <w:szCs w:val="36"/>
        <w:rtl/>
      </w:rPr>
      <w:t xml:space="preserve">חברה לניהול </w:t>
    </w:r>
    <w:r w:rsidR="00CE290C" w:rsidRPr="00725D7B">
      <w:rPr>
        <w:rFonts w:ascii="Tahoma" w:hAnsi="Tahoma" w:cs="Tahoma"/>
        <w:color w:val="0000FF"/>
        <w:sz w:val="36"/>
        <w:szCs w:val="36"/>
        <w:rtl/>
      </w:rPr>
      <w:t>קופ</w:t>
    </w:r>
    <w:r w:rsidR="00CE290C" w:rsidRPr="00725D7B">
      <w:rPr>
        <w:rFonts w:ascii="Tahoma" w:hAnsi="Tahoma" w:cs="Tahoma" w:hint="cs"/>
        <w:color w:val="0000FF"/>
        <w:sz w:val="36"/>
        <w:szCs w:val="36"/>
        <w:rtl/>
      </w:rPr>
      <w:t>ו</w:t>
    </w:r>
    <w:r w:rsidR="00CE290C" w:rsidRPr="00725D7B">
      <w:rPr>
        <w:rFonts w:ascii="Tahoma" w:hAnsi="Tahoma" w:cs="Tahoma"/>
        <w:color w:val="0000FF"/>
        <w:sz w:val="36"/>
        <w:szCs w:val="36"/>
        <w:rtl/>
      </w:rPr>
      <w:t>ת גמל בע"מ</w:t>
    </w:r>
    <w:r w:rsidR="00CE290C" w:rsidRPr="00725D7B">
      <w:rPr>
        <w:rFonts w:ascii="Tahoma" w:hAnsi="Tahoma" w:cs="Tahoma"/>
        <w:color w:val="0000FF"/>
        <w:sz w:val="36"/>
        <w:szCs w:val="36"/>
        <w:rtl/>
      </w:rPr>
      <w:tab/>
    </w:r>
  </w:p>
  <w:p w:rsidR="00CE290C" w:rsidRPr="00725D7B" w:rsidRDefault="00CE290C" w:rsidP="00CE290C">
    <w:pPr>
      <w:pStyle w:val="a3"/>
      <w:rPr>
        <w:rFonts w:ascii="Tahoma" w:hAnsi="Tahoma" w:cs="Tahoma"/>
        <w:color w:val="0000FF"/>
        <w:sz w:val="20"/>
        <w:szCs w:val="20"/>
        <w:rtl/>
      </w:rPr>
    </w:pPr>
    <w:r w:rsidRPr="00725D7B">
      <w:rPr>
        <w:rFonts w:ascii="Tahoma" w:hAnsi="Tahoma" w:cs="Tahoma" w:hint="cs"/>
        <w:color w:val="0000FF"/>
        <w:sz w:val="20"/>
        <w:szCs w:val="20"/>
        <w:rtl/>
      </w:rPr>
      <w:t>ח.פ. 520030693</w:t>
    </w:r>
  </w:p>
  <w:p w:rsidR="00CE290C" w:rsidRDefault="00CE290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15A" w:rsidRDefault="008331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3696"/>
    <w:multiLevelType w:val="hybridMultilevel"/>
    <w:tmpl w:val="64C2EACE"/>
    <w:lvl w:ilvl="0" w:tplc="A28E976E">
      <w:start w:val="1"/>
      <w:numFmt w:val="decimal"/>
      <w:lvlText w:val="%1."/>
      <w:lvlJc w:val="left"/>
      <w:pPr>
        <w:ind w:left="720" w:hanging="360"/>
      </w:pPr>
      <w:rPr>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6784B"/>
    <w:multiLevelType w:val="hybridMultilevel"/>
    <w:tmpl w:val="7910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41505"/>
    <w:multiLevelType w:val="hybridMultilevel"/>
    <w:tmpl w:val="D31C5D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B9D0C44"/>
    <w:multiLevelType w:val="hybridMultilevel"/>
    <w:tmpl w:val="001A39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C0121"/>
    <w:multiLevelType w:val="hybridMultilevel"/>
    <w:tmpl w:val="9D949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4C2E1C"/>
    <w:multiLevelType w:val="hybridMultilevel"/>
    <w:tmpl w:val="40C0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037B2"/>
    <w:multiLevelType w:val="hybridMultilevel"/>
    <w:tmpl w:val="CBC26692"/>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6"/>
  </w:num>
  <w:num w:numId="2">
    <w:abstractNumId w:val="3"/>
  </w:num>
  <w:num w:numId="3">
    <w:abstractNumId w:val="4"/>
  </w:num>
  <w:num w:numId="4">
    <w:abstractNumId w:val="5"/>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07"/>
    <w:rsid w:val="000824DC"/>
    <w:rsid w:val="000A0738"/>
    <w:rsid w:val="000D0050"/>
    <w:rsid w:val="001062C5"/>
    <w:rsid w:val="00107DE2"/>
    <w:rsid w:val="00193274"/>
    <w:rsid w:val="001E2270"/>
    <w:rsid w:val="0021493B"/>
    <w:rsid w:val="00215C02"/>
    <w:rsid w:val="00250F9D"/>
    <w:rsid w:val="00264D40"/>
    <w:rsid w:val="0028407A"/>
    <w:rsid w:val="002D5A07"/>
    <w:rsid w:val="002D6C62"/>
    <w:rsid w:val="003023D7"/>
    <w:rsid w:val="00335E91"/>
    <w:rsid w:val="00344F4C"/>
    <w:rsid w:val="003906AC"/>
    <w:rsid w:val="003A72C1"/>
    <w:rsid w:val="003C4C2F"/>
    <w:rsid w:val="003D2657"/>
    <w:rsid w:val="003E239B"/>
    <w:rsid w:val="0041397D"/>
    <w:rsid w:val="0041677E"/>
    <w:rsid w:val="00435FB8"/>
    <w:rsid w:val="004437EF"/>
    <w:rsid w:val="004472F8"/>
    <w:rsid w:val="00461403"/>
    <w:rsid w:val="004644E7"/>
    <w:rsid w:val="00494EDB"/>
    <w:rsid w:val="004A11FA"/>
    <w:rsid w:val="004A4A7B"/>
    <w:rsid w:val="004D146C"/>
    <w:rsid w:val="005230F9"/>
    <w:rsid w:val="00534BF5"/>
    <w:rsid w:val="005657A5"/>
    <w:rsid w:val="0057241A"/>
    <w:rsid w:val="005C2760"/>
    <w:rsid w:val="005D4984"/>
    <w:rsid w:val="005F3AA0"/>
    <w:rsid w:val="005F5864"/>
    <w:rsid w:val="005F7442"/>
    <w:rsid w:val="0063351E"/>
    <w:rsid w:val="00642572"/>
    <w:rsid w:val="0064343B"/>
    <w:rsid w:val="00664A09"/>
    <w:rsid w:val="00676E1F"/>
    <w:rsid w:val="006E0766"/>
    <w:rsid w:val="00722E2F"/>
    <w:rsid w:val="007301FA"/>
    <w:rsid w:val="007431D4"/>
    <w:rsid w:val="007A4BD6"/>
    <w:rsid w:val="0080391F"/>
    <w:rsid w:val="00807AAE"/>
    <w:rsid w:val="00815B3E"/>
    <w:rsid w:val="00823B0F"/>
    <w:rsid w:val="0083315A"/>
    <w:rsid w:val="0085520C"/>
    <w:rsid w:val="00893681"/>
    <w:rsid w:val="008A1033"/>
    <w:rsid w:val="008A5F17"/>
    <w:rsid w:val="008B07E0"/>
    <w:rsid w:val="008B117B"/>
    <w:rsid w:val="008D031E"/>
    <w:rsid w:val="008D05C4"/>
    <w:rsid w:val="0094200D"/>
    <w:rsid w:val="00973AB3"/>
    <w:rsid w:val="00975EC8"/>
    <w:rsid w:val="00984214"/>
    <w:rsid w:val="009B1347"/>
    <w:rsid w:val="009E7D23"/>
    <w:rsid w:val="009F2F48"/>
    <w:rsid w:val="00A47803"/>
    <w:rsid w:val="00A47809"/>
    <w:rsid w:val="00A514D5"/>
    <w:rsid w:val="00A64B9F"/>
    <w:rsid w:val="00A67491"/>
    <w:rsid w:val="00A674D2"/>
    <w:rsid w:val="00AC79E0"/>
    <w:rsid w:val="00AD230D"/>
    <w:rsid w:val="00AF0F00"/>
    <w:rsid w:val="00B009A6"/>
    <w:rsid w:val="00B116CD"/>
    <w:rsid w:val="00B2160F"/>
    <w:rsid w:val="00B229A7"/>
    <w:rsid w:val="00B42C95"/>
    <w:rsid w:val="00B63B91"/>
    <w:rsid w:val="00B856AC"/>
    <w:rsid w:val="00BA0167"/>
    <w:rsid w:val="00BB1A63"/>
    <w:rsid w:val="00BB1A82"/>
    <w:rsid w:val="00BC7108"/>
    <w:rsid w:val="00C07E96"/>
    <w:rsid w:val="00C13C9A"/>
    <w:rsid w:val="00C56B32"/>
    <w:rsid w:val="00CB398D"/>
    <w:rsid w:val="00CD4890"/>
    <w:rsid w:val="00CE290C"/>
    <w:rsid w:val="00D0419E"/>
    <w:rsid w:val="00D21731"/>
    <w:rsid w:val="00D9789F"/>
    <w:rsid w:val="00DA38F8"/>
    <w:rsid w:val="00DC0BD4"/>
    <w:rsid w:val="00E26C0A"/>
    <w:rsid w:val="00E43C08"/>
    <w:rsid w:val="00E8436D"/>
    <w:rsid w:val="00E923F6"/>
    <w:rsid w:val="00EA6E06"/>
    <w:rsid w:val="00EB162E"/>
    <w:rsid w:val="00EC3ACB"/>
    <w:rsid w:val="00EF7E61"/>
    <w:rsid w:val="00F02875"/>
    <w:rsid w:val="00F3324B"/>
    <w:rsid w:val="00F65246"/>
    <w:rsid w:val="00FC7E19"/>
    <w:rsid w:val="00FE27D3"/>
    <w:rsid w:val="00FE69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501B6"/>
  <w15:docId w15:val="{42E5750C-2609-4AC6-B1DF-A1F97CD3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A07"/>
    <w:pPr>
      <w:bidi/>
      <w:spacing w:after="160" w:line="259"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E290C"/>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4">
    <w:name w:val="footer"/>
    <w:basedOn w:val="a"/>
    <w:rsid w:val="00CE290C"/>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42572"/>
    <w:pPr>
      <w:ind w:left="720"/>
      <w:contextualSpacing/>
    </w:pPr>
  </w:style>
  <w:style w:type="character" w:styleId="Hyperlink">
    <w:name w:val="Hyperlink"/>
    <w:basedOn w:val="a0"/>
    <w:uiPriority w:val="99"/>
    <w:unhideWhenUsed/>
    <w:rsid w:val="0057241A"/>
    <w:rPr>
      <w:color w:val="0000FF" w:themeColor="hyperlink"/>
      <w:u w:val="single"/>
    </w:rPr>
  </w:style>
  <w:style w:type="character" w:styleId="FollowedHyperlink">
    <w:name w:val="FollowedHyperlink"/>
    <w:basedOn w:val="a0"/>
    <w:uiPriority w:val="99"/>
    <w:semiHidden/>
    <w:unhideWhenUsed/>
    <w:rsid w:val="0057241A"/>
    <w:rPr>
      <w:color w:val="800080" w:themeColor="followedHyperlink"/>
      <w:u w:val="single"/>
    </w:rPr>
  </w:style>
  <w:style w:type="character" w:styleId="a6">
    <w:name w:val="annotation reference"/>
    <w:basedOn w:val="a0"/>
    <w:uiPriority w:val="99"/>
    <w:semiHidden/>
    <w:unhideWhenUsed/>
    <w:rsid w:val="00F02875"/>
    <w:rPr>
      <w:sz w:val="16"/>
      <w:szCs w:val="16"/>
    </w:rPr>
  </w:style>
  <w:style w:type="paragraph" w:styleId="a7">
    <w:name w:val="annotation text"/>
    <w:basedOn w:val="a"/>
    <w:link w:val="a8"/>
    <w:uiPriority w:val="99"/>
    <w:semiHidden/>
    <w:unhideWhenUsed/>
    <w:rsid w:val="00F02875"/>
    <w:pPr>
      <w:spacing w:line="240" w:lineRule="auto"/>
    </w:pPr>
    <w:rPr>
      <w:sz w:val="20"/>
      <w:szCs w:val="20"/>
    </w:rPr>
  </w:style>
  <w:style w:type="character" w:customStyle="1" w:styleId="a8">
    <w:name w:val="טקסט הערה תו"/>
    <w:basedOn w:val="a0"/>
    <w:link w:val="a7"/>
    <w:uiPriority w:val="99"/>
    <w:semiHidden/>
    <w:rsid w:val="00F02875"/>
    <w:rPr>
      <w:rFonts w:ascii="Calibri" w:eastAsia="Calibri" w:hAnsi="Calibri" w:cs="Arial"/>
    </w:rPr>
  </w:style>
  <w:style w:type="paragraph" w:styleId="a9">
    <w:name w:val="annotation subject"/>
    <w:basedOn w:val="a7"/>
    <w:next w:val="a7"/>
    <w:link w:val="aa"/>
    <w:uiPriority w:val="99"/>
    <w:semiHidden/>
    <w:unhideWhenUsed/>
    <w:rsid w:val="00F02875"/>
    <w:rPr>
      <w:b/>
      <w:bCs/>
    </w:rPr>
  </w:style>
  <w:style w:type="character" w:customStyle="1" w:styleId="aa">
    <w:name w:val="נושא הערה תו"/>
    <w:basedOn w:val="a8"/>
    <w:link w:val="a9"/>
    <w:uiPriority w:val="99"/>
    <w:semiHidden/>
    <w:rsid w:val="00F02875"/>
    <w:rPr>
      <w:rFonts w:ascii="Calibri" w:eastAsia="Calibri" w:hAnsi="Calibri" w:cs="Arial"/>
      <w:b/>
      <w:bCs/>
    </w:rPr>
  </w:style>
  <w:style w:type="paragraph" w:styleId="ab">
    <w:name w:val="Balloon Text"/>
    <w:basedOn w:val="a"/>
    <w:link w:val="ac"/>
    <w:uiPriority w:val="99"/>
    <w:semiHidden/>
    <w:unhideWhenUsed/>
    <w:rsid w:val="00F02875"/>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02875"/>
    <w:rPr>
      <w:rFonts w:ascii="Tahoma" w:eastAsia="Calibri" w:hAnsi="Tahoma" w:cs="Tahoma"/>
      <w:sz w:val="18"/>
      <w:szCs w:val="18"/>
    </w:rPr>
  </w:style>
  <w:style w:type="paragraph" w:styleId="ad">
    <w:name w:val="footnote text"/>
    <w:basedOn w:val="a"/>
    <w:link w:val="ae"/>
    <w:uiPriority w:val="99"/>
    <w:semiHidden/>
    <w:unhideWhenUsed/>
    <w:rsid w:val="002D5A07"/>
    <w:pPr>
      <w:spacing w:after="0" w:line="240" w:lineRule="auto"/>
    </w:pPr>
    <w:rPr>
      <w:sz w:val="20"/>
      <w:szCs w:val="20"/>
    </w:rPr>
  </w:style>
  <w:style w:type="character" w:customStyle="1" w:styleId="ae">
    <w:name w:val="טקסט הערת שוליים תו"/>
    <w:basedOn w:val="a0"/>
    <w:link w:val="ad"/>
    <w:uiPriority w:val="99"/>
    <w:semiHidden/>
    <w:rsid w:val="002D5A07"/>
    <w:rPr>
      <w:rFonts w:asciiTheme="minorHAnsi" w:eastAsiaTheme="minorHAnsi" w:hAnsiTheme="minorHAnsi" w:cstheme="minorBidi"/>
    </w:rPr>
  </w:style>
  <w:style w:type="character" w:styleId="af">
    <w:name w:val="footnote reference"/>
    <w:basedOn w:val="a0"/>
    <w:uiPriority w:val="99"/>
    <w:semiHidden/>
    <w:unhideWhenUsed/>
    <w:rsid w:val="002D5A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87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KDATI\Desktop\&#1490;&#1500;&#1493;&#1508;&#1493;&#1514;\&#1500;&#1493;&#1490;&#1493;%20&#1513;&#1497;&#1489;&#1493;&#1500;&#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לוגו שיבולת.dotx</Template>
  <TotalTime>1</TotalTime>
  <Pages>4</Pages>
  <Words>894</Words>
  <Characters>5098</Characters>
  <Application>Microsoft Office Word</Application>
  <DocSecurity>0</DocSecurity>
  <Lines>42</Lines>
  <Paragraphs>11</Paragraphs>
  <ScaleCrop>false</ScaleCrop>
  <HeadingPairs>
    <vt:vector size="2" baseType="variant">
      <vt:variant>
        <vt:lpstr>שם</vt:lpstr>
      </vt:variant>
      <vt:variant>
        <vt:i4>1</vt:i4>
      </vt:variant>
    </vt:vector>
  </HeadingPairs>
  <TitlesOfParts>
    <vt:vector size="1" baseType="lpstr">
      <vt:lpstr>ב"ה</vt:lpstr>
    </vt:vector>
  </TitlesOfParts>
  <Company>Kibutz-Dati</Company>
  <LinksUpToDate>false</LinksUpToDate>
  <CharactersWithSpaces>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ב"ה</dc:title>
  <dc:creator>Gizbar Kdati</dc:creator>
  <cp:lastModifiedBy>Jacob Roth</cp:lastModifiedBy>
  <cp:revision>1</cp:revision>
  <cp:lastPrinted>1899-12-31T22:00:00Z</cp:lastPrinted>
  <dcterms:created xsi:type="dcterms:W3CDTF">2022-11-30T14:52:00Z</dcterms:created>
  <dcterms:modified xsi:type="dcterms:W3CDTF">2022-11-30T14:53:00Z</dcterms:modified>
</cp:coreProperties>
</file>